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89"/>
        <w:gridCol w:w="1211"/>
        <w:gridCol w:w="200"/>
        <w:gridCol w:w="121"/>
        <w:gridCol w:w="295"/>
        <w:gridCol w:w="128"/>
        <w:gridCol w:w="1076"/>
        <w:gridCol w:w="1956"/>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7AF1ABC5" w14:textId="6B47C370" w:rsidR="00CD5362" w:rsidRPr="00AB0EAC" w:rsidRDefault="00CD5362" w:rsidP="005C3E85">
            <w:pPr>
              <w:spacing w:before="60" w:after="60"/>
              <w:rPr>
                <w:rFonts w:ascii="Tahoma" w:hAnsi="Tahoma" w:cs="Tahoma"/>
                <w:b/>
              </w:rPr>
            </w:pPr>
            <w:r w:rsidRPr="00AB0EAC">
              <w:rPr>
                <w:rFonts w:ascii="Tahoma" w:hAnsi="Tahoma" w:cs="Tahoma"/>
                <w:b/>
              </w:rPr>
              <w:t xml:space="preserve">Bildungsgang: </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77777777" w:rsidR="00CD5362" w:rsidRPr="008B5AAF" w:rsidRDefault="002E6476" w:rsidP="002D3979">
            <w:pPr>
              <w:spacing w:before="60" w:after="60"/>
              <w:rPr>
                <w:rFonts w:ascii="Tahoma" w:hAnsi="Tahoma" w:cs="Tahoma"/>
                <w:sz w:val="22"/>
                <w:szCs w:val="22"/>
              </w:rPr>
            </w:pPr>
            <w:r w:rsidRPr="008B5AAF">
              <w:rPr>
                <w:rFonts w:ascii="Tahoma" w:hAnsi="Tahoma" w:cs="Tahoma"/>
                <w:sz w:val="22"/>
                <w:szCs w:val="22"/>
              </w:rPr>
              <w:t>B</w:t>
            </w:r>
            <w:r w:rsidR="00185E04" w:rsidRPr="008B5AAF">
              <w:rPr>
                <w:rFonts w:ascii="Tahoma" w:hAnsi="Tahoma" w:cs="Tahoma"/>
                <w:sz w:val="22"/>
                <w:szCs w:val="22"/>
              </w:rPr>
              <w:t>1</w:t>
            </w:r>
            <w:r w:rsidR="00F33A83">
              <w:rPr>
                <w:rFonts w:ascii="Tahoma" w:hAnsi="Tahoma" w:cs="Tahoma"/>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72B52F05"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AA5063">
              <w:rPr>
                <w:rFonts w:ascii="Tahoma" w:hAnsi="Tahoma" w:cs="Tahoma"/>
              </w:rPr>
              <w:t>26</w:t>
            </w:r>
            <w:r w:rsidR="002E6476">
              <w:rPr>
                <w:rFonts w:ascii="Tahoma" w:hAnsi="Tahoma" w:cs="Tahoma"/>
              </w:rPr>
              <w:t xml:space="preserve"> </w:t>
            </w:r>
            <w:r w:rsidRPr="00AB0EAC">
              <w:rPr>
                <w:rFonts w:ascii="Tahoma" w:hAnsi="Tahoma" w:cs="Tahoma"/>
              </w:rPr>
              <w:t>h]</w:t>
            </w:r>
            <w:r w:rsidR="009D7B9F">
              <w:rPr>
                <w:rFonts w:ascii="Tahoma" w:hAnsi="Tahoma" w:cs="Tahoma"/>
              </w:rPr>
              <w:br/>
            </w:r>
            <w:r w:rsidR="0053579B" w:rsidRPr="002E0FE5">
              <w:rPr>
                <w:rFonts w:ascii="Tahoma" w:hAnsi="Tahoma" w:cs="Tahoma"/>
              </w:rPr>
              <w:t>LF 8 Tragende Holz</w:t>
            </w:r>
            <w:r w:rsidR="0053579B">
              <w:rPr>
                <w:rFonts w:ascii="Tahoma" w:hAnsi="Tahoma" w:cs="Tahoma"/>
              </w:rPr>
              <w:t>wände errichten.</w:t>
            </w:r>
          </w:p>
        </w:tc>
        <w:tc>
          <w:tcPr>
            <w:tcW w:w="5245" w:type="dxa"/>
            <w:gridSpan w:val="2"/>
            <w:tcBorders>
              <w:top w:val="nil"/>
              <w:bottom w:val="nil"/>
            </w:tcBorders>
            <w:shd w:val="clear" w:color="auto" w:fill="F2F2F2" w:themeFill="background1" w:themeFillShade="F2"/>
          </w:tcPr>
          <w:p w14:paraId="11309AD3" w14:textId="3B217D20" w:rsidR="009D7B9F" w:rsidRPr="007520C7" w:rsidRDefault="009D7B9F" w:rsidP="009D7B9F">
            <w:pPr>
              <w:spacing w:before="180" w:after="120"/>
              <w:jc w:val="center"/>
              <w:rPr>
                <w:rFonts w:cs="Arial"/>
                <w:i/>
              </w:rPr>
            </w:pPr>
          </w:p>
        </w:tc>
        <w:tc>
          <w:tcPr>
            <w:tcW w:w="6059" w:type="dxa"/>
            <w:gridSpan w:val="5"/>
            <w:tcBorders>
              <w:top w:val="nil"/>
              <w:bottom w:val="nil"/>
              <w:right w:val="single" w:sz="4" w:space="0" w:color="auto"/>
            </w:tcBorders>
            <w:shd w:val="clear" w:color="auto" w:fill="FFFFFF" w:themeFill="background1"/>
          </w:tcPr>
          <w:p w14:paraId="10B0440E" w14:textId="77777777"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2068"/>
              <w:gridCol w:w="1282"/>
            </w:tblGrid>
            <w:tr w:rsidR="00076570" w14:paraId="0EBF080C" w14:textId="77777777" w:rsidTr="006C556B">
              <w:tc>
                <w:tcPr>
                  <w:tcW w:w="3709" w:type="dxa"/>
                </w:tcPr>
                <w:p w14:paraId="552F97CA" w14:textId="77777777"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456C0C">
                    <w:rPr>
                      <w:rFonts w:ascii="Tahoma" w:hAnsi="Tahoma" w:cs="Tahoma"/>
                      <w:noProof/>
                      <w:sz w:val="20"/>
                      <w:szCs w:val="20"/>
                    </w:rPr>
                    <w:t>x</w:t>
                  </w:r>
                  <w:r w:rsidR="00F721AB" w:rsidRPr="008F2175">
                    <w:rPr>
                      <w:rFonts w:ascii="Tahoma" w:hAnsi="Tahoma" w:cs="Tahoma"/>
                      <w:noProof/>
                      <w:sz w:val="20"/>
                      <w:szCs w:val="20"/>
                    </w:rPr>
                    <w:t xml:space="preserve"> Lernsituationen</w:t>
                  </w:r>
                </w:p>
              </w:tc>
              <w:tc>
                <w:tcPr>
                  <w:tcW w:w="2124" w:type="dxa"/>
                </w:tcPr>
                <w:p w14:paraId="1DDEFDE5" w14:textId="3C6288E7"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p>
              </w:tc>
            </w:tr>
            <w:tr w:rsidR="00076570" w14:paraId="3A74BF50" w14:textId="77777777" w:rsidTr="006C556B">
              <w:tc>
                <w:tcPr>
                  <w:tcW w:w="3709" w:type="dxa"/>
                </w:tcPr>
                <w:p w14:paraId="51A45D45" w14:textId="2FA086DD"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p>
              </w:tc>
              <w:tc>
                <w:tcPr>
                  <w:tcW w:w="2124" w:type="dxa"/>
                </w:tcPr>
                <w:p w14:paraId="299B00A7" w14:textId="16BD055F"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5C3E85">
                    <w:rPr>
                      <w:rFonts w:ascii="Tahoma" w:hAnsi="Tahoma" w:cs="Tahoma"/>
                      <w:noProof/>
                      <w:sz w:val="20"/>
                      <w:szCs w:val="20"/>
                    </w:rPr>
                    <w:t>xx</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3D83CB59" w14:textId="77777777" w:rsidR="00AA5063" w:rsidRDefault="004A2627" w:rsidP="002D3979">
            <w:pPr>
              <w:spacing w:before="60" w:after="60"/>
              <w:rPr>
                <w:rFonts w:ascii="Tahoma" w:hAnsi="Tahoma" w:cs="Tahoma"/>
                <w:b/>
              </w:rPr>
            </w:pPr>
            <w:r w:rsidRPr="00F14095">
              <w:rPr>
                <w:rFonts w:ascii="Tahoma" w:hAnsi="Tahoma" w:cs="Tahoma"/>
                <w:b/>
              </w:rPr>
              <w:t>Curriculare Vorgaben:</w:t>
            </w:r>
          </w:p>
          <w:p w14:paraId="68FF365D" w14:textId="1B85FFD8" w:rsidR="004472C3" w:rsidRDefault="00AA5063" w:rsidP="002D3979">
            <w:pPr>
              <w:spacing w:before="60" w:after="60"/>
              <w:rPr>
                <w:rFonts w:ascii="Tahoma" w:hAnsi="Tahoma" w:cs="Tahoma"/>
                <w:b/>
              </w:rPr>
            </w:pPr>
            <w:r w:rsidRPr="00AA5063">
              <w:rPr>
                <w:rFonts w:ascii="Tahoma" w:hAnsi="Tahoma" w:cs="Tahoma"/>
                <w:b/>
                <w:noProof/>
              </w:rPr>
              <w:drawing>
                <wp:inline distT="0" distB="0" distL="0" distR="0" wp14:anchorId="09903C5B" wp14:editId="2C217B5A">
                  <wp:extent cx="5760720" cy="2449830"/>
                  <wp:effectExtent l="0" t="0" r="0" b="0"/>
                  <wp:docPr id="96230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r w:rsidR="004A2627" w:rsidRPr="00F14095">
              <w:rPr>
                <w:rFonts w:ascii="Tahoma" w:hAnsi="Tahoma" w:cs="Tahoma"/>
                <w:b/>
              </w:rPr>
              <w:t xml:space="preserve"> </w:t>
            </w:r>
          </w:p>
          <w:p w14:paraId="21D57DCE" w14:textId="77777777" w:rsidR="006E13E8" w:rsidRDefault="006E13E8" w:rsidP="007520C7">
            <w:pPr>
              <w:jc w:val="center"/>
              <w:rPr>
                <w:b/>
                <w:sz w:val="20"/>
                <w:szCs w:val="20"/>
              </w:rPr>
            </w:pPr>
          </w:p>
          <w:p w14:paraId="16481085" w14:textId="77777777" w:rsidR="007520C7" w:rsidRPr="00D762C6" w:rsidRDefault="007520C7" w:rsidP="00AA5063">
            <w:pP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7169FDBE" w14:textId="77777777" w:rsidR="002D3979" w:rsidRPr="00E14866" w:rsidRDefault="00E14866" w:rsidP="00E14866">
            <w:pPr>
              <w:spacing w:before="60" w:after="60"/>
              <w:rPr>
                <w:rFonts w:asciiTheme="minorHAnsi" w:hAnsiTheme="minorHAnsi" w:cstheme="minorHAnsi"/>
                <w:i/>
                <w:sz w:val="20"/>
                <w:szCs w:val="20"/>
              </w:rPr>
            </w:pPr>
            <w:r w:rsidRPr="00E14866">
              <w:rPr>
                <w:rFonts w:asciiTheme="minorHAnsi" w:hAnsiTheme="minorHAnsi" w:cstheme="minorHAnsi"/>
                <w:i/>
                <w:sz w:val="20"/>
                <w:szCs w:val="20"/>
              </w:rPr>
              <w:t xml:space="preserve">Vorgaben aus den Ordnungsmitteln, wie z. B. Rahmenrichtlinien, Rahmenlehrplan einschließlich Lernfelder, Qualifizierungsbausteine </w:t>
            </w:r>
          </w:p>
          <w:p w14:paraId="23D268AA" w14:textId="2B2ADDBC" w:rsidR="007520C7" w:rsidRPr="00D762C6" w:rsidRDefault="007520C7" w:rsidP="004B70B2">
            <w:pPr>
              <w:pStyle w:val="Default"/>
              <w:rPr>
                <w:rFonts w:asciiTheme="majorHAnsi" w:hAnsiTheme="majorHAnsi" w:cstheme="majorHAnsi"/>
                <w:sz w:val="20"/>
                <w:szCs w:val="20"/>
              </w:rPr>
            </w:pPr>
          </w:p>
        </w:tc>
      </w:tr>
      <w:tr w:rsidR="00076570"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E31E4" w14:textId="77777777" w:rsidR="00076570" w:rsidRPr="00AB0EAC" w:rsidRDefault="00076570" w:rsidP="00076570">
            <w:pPr>
              <w:spacing w:before="120" w:after="120"/>
              <w:rPr>
                <w:sz w:val="28"/>
                <w:szCs w:val="28"/>
              </w:rPr>
            </w:pPr>
            <w:r w:rsidRPr="00AB0EAC">
              <w:rPr>
                <w:b/>
                <w:sz w:val="28"/>
                <w:szCs w:val="28"/>
              </w:rPr>
              <w:t xml:space="preserve">Titel der Lernsituation:  </w:t>
            </w:r>
          </w:p>
          <w:p w14:paraId="514CD82F" w14:textId="692C0D9D" w:rsidR="00076570" w:rsidRPr="00076570" w:rsidRDefault="00DB7F1D" w:rsidP="00DB7F1D">
            <w:pPr>
              <w:spacing w:before="120" w:after="120"/>
              <w:rPr>
                <w:b/>
                <w:sz w:val="20"/>
              </w:rPr>
            </w:pPr>
            <w:r w:rsidRPr="00DB7F1D">
              <w:t>Verbindungstechniken im Holzrahmenbau anwenden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0"/>
              <w:gridCol w:w="1209"/>
            </w:tblGrid>
            <w:tr w:rsidR="005C1200" w14:paraId="3BF07968" w14:textId="77777777" w:rsidTr="0040739D">
              <w:tc>
                <w:tcPr>
                  <w:tcW w:w="2845" w:type="dxa"/>
                  <w:shd w:val="clear" w:color="auto" w:fill="F2F2F2" w:themeFill="background1" w:themeFillShade="F2"/>
                </w:tcPr>
                <w:p w14:paraId="0C0E738C" w14:textId="77777777" w:rsidR="005C1200" w:rsidRDefault="005C1200" w:rsidP="009D7B9F">
                  <w:pPr>
                    <w:spacing w:before="120" w:after="120"/>
                    <w:jc w:val="center"/>
                  </w:pPr>
                  <w:r>
                    <w:rPr>
                      <w:b/>
                      <w:sz w:val="20"/>
                    </w:rPr>
                    <w:t>Geplanter Zeitrichtwert:</w:t>
                  </w:r>
                </w:p>
                <w:p w14:paraId="217367A0" w14:textId="10F50091" w:rsidR="005C1200" w:rsidRPr="002575F3" w:rsidRDefault="005C3E85" w:rsidP="009D7B9F">
                  <w:pPr>
                    <w:spacing w:before="120" w:after="120"/>
                    <w:jc w:val="center"/>
                    <w:rPr>
                      <w:sz w:val="20"/>
                    </w:rPr>
                  </w:pPr>
                  <w:r>
                    <w:rPr>
                      <w:b/>
                      <w:i/>
                      <w:sz w:val="20"/>
                    </w:rPr>
                    <w:t>x</w:t>
                  </w:r>
                  <w:r w:rsidR="005C1200" w:rsidRPr="002575F3">
                    <w:rPr>
                      <w:i/>
                      <w:sz w:val="20"/>
                    </w:rPr>
                    <w:t xml:space="preserve"> </w:t>
                  </w:r>
                  <w:r w:rsidR="00F33A83">
                    <w:rPr>
                      <w:i/>
                      <w:sz w:val="20"/>
                    </w:rPr>
                    <w:t>Unterrichts</w:t>
                  </w:r>
                  <w:r w:rsidR="005C1200" w:rsidRPr="002575F3">
                    <w:rPr>
                      <w:i/>
                      <w:sz w:val="20"/>
                    </w:rPr>
                    <w:t>stunden</w:t>
                  </w:r>
                  <w:r w:rsidR="004C616A" w:rsidRPr="002575F3">
                    <w:rPr>
                      <w:i/>
                      <w:sz w:val="20"/>
                    </w:rPr>
                    <w:t xml:space="preserve"> </w:t>
                  </w:r>
                </w:p>
              </w:tc>
              <w:tc>
                <w:tcPr>
                  <w:tcW w:w="2846" w:type="dxa"/>
                </w:tcPr>
                <w:p w14:paraId="635B2D94" w14:textId="77777777" w:rsidR="005C1200" w:rsidRPr="008749FF" w:rsidRDefault="00215E7A" w:rsidP="008749FF">
                  <w:pPr>
                    <w:spacing w:beforeLines="60" w:before="144" w:after="60"/>
                    <w:rPr>
                      <w:i/>
                      <w:color w:val="0563C1" w:themeColor="hyperlink"/>
                      <w:sz w:val="20"/>
                      <w:u w:val="single"/>
                    </w:rPr>
                  </w:pPr>
                  <w:hyperlink r:id="rId10" w:history="1">
                    <w:r>
                      <w:rPr>
                        <w:rStyle w:val="Hyperlink"/>
                        <w:i/>
                        <w:sz w:val="20"/>
                      </w:rPr>
                      <w:t xml:space="preserve">Link zum </w:t>
                    </w:r>
                    <w:proofErr w:type="spellStart"/>
                    <w:r>
                      <w:rPr>
                        <w:rStyle w:val="Hyperlink"/>
                        <w:i/>
                        <w:sz w:val="20"/>
                      </w:rPr>
                      <w:t>Moodle</w:t>
                    </w:r>
                    <w:proofErr w:type="spellEnd"/>
                    <w:r>
                      <w:rPr>
                        <w:rStyle w:val="Hyperlink"/>
                        <w:i/>
                        <w:sz w:val="20"/>
                      </w:rPr>
                      <w:t>-Kurs Politik</w:t>
                    </w:r>
                  </w:hyperlink>
                </w:p>
              </w:tc>
            </w:tr>
          </w:tbl>
          <w:p w14:paraId="136E612D" w14:textId="77777777" w:rsidR="00076570" w:rsidRPr="009830B7" w:rsidRDefault="00076570" w:rsidP="009D7B9F">
            <w:pPr>
              <w:spacing w:before="120" w:after="120"/>
              <w:jc w:val="center"/>
              <w:rPr>
                <w:i/>
              </w:rPr>
            </w:pPr>
          </w:p>
        </w:tc>
      </w:tr>
      <w:tr w:rsidR="002D3979"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Default="002D3979" w:rsidP="001E3BAA">
            <w:pPr>
              <w:spacing w:beforeLines="60" w:before="144" w:afterLines="60" w:after="144"/>
              <w:ind w:left="1"/>
              <w:rPr>
                <w:rFonts w:ascii="Calibri" w:hAnsi="Calibri" w:cs="Calibri"/>
              </w:rPr>
            </w:pPr>
            <w:r w:rsidRPr="00E14866">
              <w:rPr>
                <w:rFonts w:ascii="Calibri" w:hAnsi="Calibri" w:cs="Calibri"/>
                <w:b/>
              </w:rPr>
              <w:lastRenderedPageBreak/>
              <w:t>Handlungssituation</w:t>
            </w:r>
            <w:r w:rsidRPr="00E14866">
              <w:rPr>
                <w:rFonts w:ascii="Calibri" w:hAnsi="Calibri" w:cs="Calibri"/>
              </w:rPr>
              <w:t xml:space="preserve">:  </w:t>
            </w:r>
          </w:p>
          <w:p w14:paraId="4296733D" w14:textId="3C7387A0" w:rsidR="005C3E85" w:rsidRDefault="00DB7F1D" w:rsidP="00DB7F1D">
            <w:pPr>
              <w:spacing w:beforeLines="60" w:before="144" w:afterLines="60" w:after="144"/>
              <w:rPr>
                <w:rFonts w:ascii="Calibri" w:hAnsi="Calibri" w:cs="Calibri"/>
                <w:sz w:val="22"/>
                <w:szCs w:val="22"/>
              </w:rPr>
            </w:pPr>
            <w:r w:rsidRPr="00DB7F1D">
              <w:rPr>
                <w:rFonts w:ascii="Calibri" w:eastAsia="Calibri" w:hAnsi="Calibri" w:cs="Arial"/>
                <w:kern w:val="2"/>
                <w:sz w:val="22"/>
                <w:szCs w:val="22"/>
                <w:lang w:eastAsia="en-US"/>
                <w14:ligatures w14:val="standardContextual"/>
              </w:rPr>
              <w:t>Ein Zimmereibetrieb hat den Auftrag, eine tragende Wand eines Bürogebäudes in Holzrahmenbauweise zu errichten. Die Auszubildenden sollen in der Werkstatt verschiedene Verbindungstechniken vorbereiten und anwenden, um die einzelnen Rahmenhölzer fachgerecht zu fügen. Sie vergleichen traditionelle Holzverbindungen wie Zapfen- und Blattverbindungen mit modernen Verbindungsmitteln wie Holzbauschrauben, Nagelplatten und Bolzenankern. Anhand eines Musterrahmens demonstrieren sie die Umsetzung der Verbindungen und bewerten deren Tragfähigkeit sowie Verarbeitungsvorteile. Die Ergebnisse werden dokumentiert und in einer fachlichen Präsentation vorgestellt.</w:t>
            </w:r>
          </w:p>
          <w:p w14:paraId="5E5ADBF2" w14:textId="77777777" w:rsidR="005C3E85" w:rsidRDefault="005C3E85" w:rsidP="001E3BAA">
            <w:pPr>
              <w:spacing w:beforeLines="60" w:before="144" w:afterLines="60" w:after="144"/>
              <w:rPr>
                <w:rFonts w:ascii="Calibri" w:hAnsi="Calibri" w:cs="Calibri"/>
                <w:b/>
                <w:sz w:val="22"/>
                <w:szCs w:val="22"/>
              </w:rPr>
            </w:pPr>
          </w:p>
          <w:p w14:paraId="56A45F25" w14:textId="77777777" w:rsidR="005C3E85" w:rsidRDefault="005C3E85" w:rsidP="001E3BAA">
            <w:pPr>
              <w:spacing w:beforeLines="60" w:before="144" w:afterLines="60" w:after="144"/>
              <w:rPr>
                <w:rFonts w:ascii="Calibri" w:hAnsi="Calibri" w:cs="Calibri"/>
                <w:b/>
                <w:sz w:val="22"/>
                <w:szCs w:val="22"/>
              </w:rPr>
            </w:pPr>
          </w:p>
          <w:p w14:paraId="6D26ED23" w14:textId="77777777" w:rsidR="005C3E85" w:rsidRDefault="005C3E85" w:rsidP="001E3BAA">
            <w:pPr>
              <w:spacing w:beforeLines="60" w:before="144" w:afterLines="60" w:after="144"/>
              <w:rPr>
                <w:rFonts w:ascii="Calibri" w:hAnsi="Calibri" w:cs="Calibri"/>
                <w:b/>
                <w:sz w:val="22"/>
                <w:szCs w:val="22"/>
              </w:rPr>
            </w:pPr>
          </w:p>
          <w:p w14:paraId="0269BAB0" w14:textId="7E9C352F" w:rsidR="00B22A64" w:rsidRPr="00E14866" w:rsidRDefault="00B22A64" w:rsidP="00374B9C">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374B9C" w:rsidRPr="00374B9C">
              <w:rPr>
                <w:rFonts w:ascii="Calibri" w:eastAsia="Calibri" w:hAnsi="Calibri" w:cs="Arial"/>
                <w:kern w:val="2"/>
                <w:sz w:val="22"/>
                <w:szCs w:val="22"/>
                <w:lang w:eastAsia="en-US"/>
                <w14:ligatures w14:val="standardContextual"/>
              </w:rPr>
              <w:t>Herstellung eines Wandabschnitts mit unterschiedlichen Verbindungstechniken (Modell), Vergleichsdokumentation mit Bewertung, Präsentation der Ergebnisse</w:t>
            </w:r>
          </w:p>
        </w:tc>
        <w:tc>
          <w:tcPr>
            <w:tcW w:w="3933" w:type="dxa"/>
            <w:gridSpan w:val="3"/>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36202E8A" w14:textId="5DDDFB4B" w:rsidR="00215E7A" w:rsidRPr="00C267A0" w:rsidRDefault="00C267A0" w:rsidP="00374B9C">
            <w:pPr>
              <w:spacing w:beforeLines="60" w:before="144" w:afterLines="60" w:after="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374B9C" w:rsidRPr="00374B9C">
              <w:rPr>
                <w:rFonts w:ascii="Calibri" w:eastAsia="Calibri" w:hAnsi="Calibri" w:cs="Arial"/>
                <w:kern w:val="2"/>
                <w:sz w:val="22"/>
                <w:szCs w:val="22"/>
                <w:lang w:eastAsia="en-US"/>
                <w14:ligatures w14:val="standardContextual"/>
              </w:rPr>
              <w:t>Werkstattarbeit, Gruppenarbeit, Vergleichsanalyse, Präsentation</w:t>
            </w:r>
          </w:p>
        </w:tc>
      </w:tr>
      <w:tr w:rsidR="00AE7F46" w14:paraId="5DD09C47" w14:textId="77777777" w:rsidTr="00AE7F46">
        <w:tblPrEx>
          <w:tblBorders>
            <w:insideH w:val="single" w:sz="4" w:space="0" w:color="auto"/>
            <w:insideV w:val="single" w:sz="4" w:space="0" w:color="auto"/>
          </w:tblBorders>
        </w:tblPrEx>
        <w:tc>
          <w:tcPr>
            <w:tcW w:w="7366" w:type="dxa"/>
            <w:gridSpan w:val="2"/>
          </w:tcPr>
          <w:p w14:paraId="67B440A7" w14:textId="77777777" w:rsidR="00AA5063" w:rsidRDefault="00AE7F46" w:rsidP="00AF6A8E">
            <w:pPr>
              <w:spacing w:after="239"/>
              <w:ind w:left="1"/>
              <w:rPr>
                <w:rFonts w:ascii="Calibri" w:hAnsi="Calibri" w:cs="Calibri"/>
                <w:b/>
                <w:sz w:val="22"/>
                <w:szCs w:val="22"/>
              </w:rPr>
            </w:pPr>
            <w:bookmarkStart w:id="0" w:name="_Hlk191203001"/>
            <w:r w:rsidRPr="00AE7F46">
              <w:rPr>
                <w:rFonts w:ascii="Calibri" w:hAnsi="Calibri" w:cs="Calibri"/>
                <w:b/>
                <w:sz w:val="22"/>
                <w:szCs w:val="22"/>
              </w:rPr>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p>
          <w:p w14:paraId="00123442" w14:textId="65ADFB3B" w:rsidR="00AF6A8E" w:rsidRPr="00AF6A8E" w:rsidRDefault="00374B9C" w:rsidP="00AF6A8E">
            <w:pPr>
              <w:spacing w:after="239"/>
              <w:ind w:left="1"/>
              <w:rPr>
                <w:rFonts w:ascii="Calibri" w:hAnsi="Calibri" w:cs="Calibri"/>
                <w:b/>
                <w:sz w:val="22"/>
                <w:szCs w:val="22"/>
              </w:rPr>
            </w:pPr>
            <w:r w:rsidRPr="00374B9C">
              <w:rPr>
                <w:rFonts w:ascii="Calibri" w:eastAsia="Calibri" w:hAnsi="Calibri" w:cs="Arial"/>
                <w:kern w:val="2"/>
                <w:sz w:val="22"/>
                <w:szCs w:val="22"/>
                <w:lang w:eastAsia="en-US"/>
                <w14:ligatures w14:val="standardContextual"/>
              </w:rPr>
              <w:t>Nutzung der Schulwerkstatt mit Simulation realer Arbeitsbedingungen; Einsatz von digitalen Medien zur Dokumentation</w:t>
            </w:r>
          </w:p>
        </w:tc>
        <w:tc>
          <w:tcPr>
            <w:tcW w:w="6910" w:type="dxa"/>
            <w:gridSpan w:val="6"/>
          </w:tcPr>
          <w:p w14:paraId="556B8125" w14:textId="77777777" w:rsidR="008749FF"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14:paraId="184658FD" w14:textId="77777777" w:rsidR="00AF6A8E" w:rsidRPr="00B447E6"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bookmarkEnd w:id="0"/>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F11A60" w14:paraId="7E6D31AC" w14:textId="77777777" w:rsidTr="00217C39">
        <w:tc>
          <w:tcPr>
            <w:tcW w:w="3409" w:type="dxa"/>
          </w:tcPr>
          <w:p w14:paraId="7DB3825A" w14:textId="77777777" w:rsidR="00931DF1" w:rsidRDefault="00931DF1" w:rsidP="00931DF1">
            <w:pPr>
              <w:pStyle w:val="StandardWeb"/>
            </w:pPr>
            <w:r>
              <w:rPr>
                <w:rFonts w:hAnsi="Symbol"/>
              </w:rPr>
              <w:t></w:t>
            </w:r>
            <w:r>
              <w:t xml:space="preserve">  unterscheiden verschiedene Verbindungstechniken </w:t>
            </w:r>
            <w:r>
              <w:lastRenderedPageBreak/>
              <w:t>hinsichtlich Funktion und Einsatzbereich,</w:t>
            </w:r>
          </w:p>
          <w:p w14:paraId="6A9CB150" w14:textId="77777777" w:rsidR="00931DF1" w:rsidRDefault="00931DF1" w:rsidP="00931DF1">
            <w:pPr>
              <w:pStyle w:val="StandardWeb"/>
            </w:pPr>
            <w:r>
              <w:rPr>
                <w:rFonts w:hAnsi="Symbol"/>
              </w:rPr>
              <w:t></w:t>
            </w:r>
            <w:r>
              <w:t xml:space="preserve">  wählen geeignete Verbindungstechniken nach technischen und wirtschaftlichen Kriterien aus,</w:t>
            </w:r>
          </w:p>
          <w:p w14:paraId="184B40FA" w14:textId="77777777" w:rsidR="00931DF1" w:rsidRDefault="00931DF1" w:rsidP="00931DF1">
            <w:pPr>
              <w:pStyle w:val="StandardWeb"/>
            </w:pPr>
            <w:r>
              <w:rPr>
                <w:rFonts w:hAnsi="Symbol"/>
              </w:rPr>
              <w:t></w:t>
            </w:r>
            <w:r>
              <w:t xml:space="preserve">  wenden diese korrekt und maßhaltig in der Werkstatt an,</w:t>
            </w:r>
          </w:p>
          <w:p w14:paraId="1A08746A" w14:textId="77777777" w:rsidR="00931DF1" w:rsidRDefault="00931DF1" w:rsidP="00931DF1">
            <w:pPr>
              <w:pStyle w:val="StandardWeb"/>
            </w:pPr>
            <w:r>
              <w:rPr>
                <w:rFonts w:hAnsi="Symbol"/>
              </w:rPr>
              <w:t></w:t>
            </w:r>
            <w:r>
              <w:t xml:space="preserve">  bewerten die eigene Arbeit hinsichtlich Stabilität und Genauigkeit.</w:t>
            </w:r>
          </w:p>
          <w:p w14:paraId="3B651241" w14:textId="19702120" w:rsidR="00F11A60" w:rsidRPr="001B477F" w:rsidRDefault="00F11A60" w:rsidP="00F11A60">
            <w:pPr>
              <w:pStyle w:val="Listenabsatz"/>
              <w:numPr>
                <w:ilvl w:val="0"/>
                <w:numId w:val="21"/>
              </w:numPr>
              <w:spacing w:before="60" w:afterLines="300" w:after="720" w:line="242" w:lineRule="auto"/>
              <w:ind w:right="58"/>
              <w:rPr>
                <w:rFonts w:asciiTheme="majorHAnsi" w:hAnsiTheme="majorHAnsi" w:cstheme="majorHAnsi"/>
                <w:sz w:val="20"/>
                <w:szCs w:val="20"/>
              </w:rPr>
            </w:pPr>
          </w:p>
        </w:tc>
        <w:tc>
          <w:tcPr>
            <w:tcW w:w="3371" w:type="dxa"/>
          </w:tcPr>
          <w:p w14:paraId="6F8B8423" w14:textId="77777777" w:rsidR="00931DF1" w:rsidRDefault="00931DF1" w:rsidP="00931DF1">
            <w:pPr>
              <w:pStyle w:val="StandardWeb"/>
            </w:pPr>
            <w:r>
              <w:rPr>
                <w:rFonts w:hAnsi="Symbol"/>
              </w:rPr>
              <w:lastRenderedPageBreak/>
              <w:t></w:t>
            </w:r>
            <w:r>
              <w:t xml:space="preserve">  reflektieren ihre Material- und Werkzeugwahl,</w:t>
            </w:r>
          </w:p>
          <w:p w14:paraId="56591EC3" w14:textId="77777777" w:rsidR="00931DF1" w:rsidRDefault="00931DF1" w:rsidP="00931DF1">
            <w:pPr>
              <w:pStyle w:val="StandardWeb"/>
            </w:pPr>
            <w:r>
              <w:rPr>
                <w:rFonts w:hAnsi="Symbol"/>
              </w:rPr>
              <w:lastRenderedPageBreak/>
              <w:t></w:t>
            </w:r>
            <w:r>
              <w:t xml:space="preserve">  arbeiten teamorientiert in der Werkstatt,</w:t>
            </w:r>
          </w:p>
          <w:p w14:paraId="33FDF5FC" w14:textId="77777777" w:rsidR="00931DF1" w:rsidRDefault="00931DF1" w:rsidP="00931DF1">
            <w:pPr>
              <w:pStyle w:val="StandardWeb"/>
            </w:pPr>
            <w:r>
              <w:rPr>
                <w:rFonts w:hAnsi="Symbol"/>
              </w:rPr>
              <w:t></w:t>
            </w:r>
            <w:r>
              <w:t xml:space="preserve">  übernehmen Verantwortung für die Qualität der Verbindung,</w:t>
            </w:r>
          </w:p>
          <w:p w14:paraId="30D2818A" w14:textId="77777777" w:rsidR="00931DF1" w:rsidRDefault="00931DF1" w:rsidP="00931DF1">
            <w:pPr>
              <w:pStyle w:val="StandardWeb"/>
            </w:pPr>
            <w:r>
              <w:rPr>
                <w:rFonts w:hAnsi="Symbol"/>
              </w:rPr>
              <w:t></w:t>
            </w:r>
            <w:r>
              <w:t xml:space="preserve">  präsentieren ihre Ergebnisse adressatengerecht.</w:t>
            </w:r>
          </w:p>
          <w:p w14:paraId="029411E3" w14:textId="1CB65BC5" w:rsidR="00F11A60" w:rsidRPr="001B477F" w:rsidRDefault="00F11A60" w:rsidP="00F11A60">
            <w:pPr>
              <w:pStyle w:val="Listenabsatz"/>
              <w:spacing w:before="60" w:afterLines="300" w:after="720"/>
              <w:ind w:left="360"/>
              <w:jc w:val="both"/>
              <w:rPr>
                <w:rFonts w:asciiTheme="majorHAnsi" w:hAnsiTheme="majorHAnsi" w:cstheme="majorHAnsi"/>
                <w:sz w:val="20"/>
                <w:szCs w:val="20"/>
              </w:rPr>
            </w:pPr>
          </w:p>
        </w:tc>
        <w:tc>
          <w:tcPr>
            <w:tcW w:w="3444" w:type="dxa"/>
          </w:tcPr>
          <w:p w14:paraId="50B8F7FB" w14:textId="0AF6B9B6" w:rsidR="00F11A60" w:rsidRPr="001B477F" w:rsidRDefault="00F11A60" w:rsidP="00374B9C">
            <w:pPr>
              <w:numPr>
                <w:ilvl w:val="0"/>
                <w:numId w:val="10"/>
              </w:numPr>
              <w:rPr>
                <w:rFonts w:asciiTheme="majorHAnsi" w:hAnsiTheme="majorHAnsi" w:cstheme="majorHAnsi"/>
                <w:sz w:val="20"/>
                <w:szCs w:val="20"/>
              </w:rPr>
            </w:pPr>
            <w:r w:rsidRPr="00F26D61">
              <w:rPr>
                <w:b/>
                <w:bCs/>
              </w:rPr>
              <w:lastRenderedPageBreak/>
              <w:t>Informieren I:</w:t>
            </w:r>
            <w:r w:rsidRPr="00F26D61">
              <w:t xml:space="preserve"> </w:t>
            </w:r>
            <w:r w:rsidR="00374B9C" w:rsidRPr="00374B9C">
              <w:t xml:space="preserve">Verbindungstechniken im Holzbau (Zapfen, Schlitz, </w:t>
            </w:r>
            <w:r w:rsidR="00374B9C" w:rsidRPr="00374B9C">
              <w:lastRenderedPageBreak/>
              <w:t>Blatt, Schraub-, Nagel-, Bolzenverbindungen), Kriterien der Auswahl (Tragfähigkeit, Aufwand, Reversibilität), Umsetzung im Wandrahmen</w:t>
            </w:r>
          </w:p>
        </w:tc>
        <w:tc>
          <w:tcPr>
            <w:tcW w:w="4052" w:type="dxa"/>
          </w:tcPr>
          <w:p w14:paraId="715C5671" w14:textId="2ACD92A6" w:rsidR="00F11A60" w:rsidRPr="001B477F" w:rsidRDefault="00374B9C" w:rsidP="00374B9C">
            <w:pPr>
              <w:rPr>
                <w:rFonts w:asciiTheme="majorHAnsi" w:hAnsiTheme="majorHAnsi" w:cstheme="majorHAnsi"/>
                <w:sz w:val="20"/>
                <w:szCs w:val="20"/>
              </w:rPr>
            </w:pPr>
            <w:r w:rsidRPr="00374B9C">
              <w:rPr>
                <w:rFonts w:ascii="Calibri" w:eastAsia="Calibri" w:hAnsi="Calibri" w:cs="Arial"/>
                <w:kern w:val="2"/>
                <w:sz w:val="22"/>
                <w:szCs w:val="22"/>
                <w:lang w:eastAsia="en-US"/>
                <w14:ligatures w14:val="standardContextual"/>
              </w:rPr>
              <w:lastRenderedPageBreak/>
              <w:t>Werkstatt, Fachliteratur, CAD, Videos, Vergleichstabellen, Präsentationssoftware</w:t>
            </w:r>
          </w:p>
        </w:tc>
      </w:tr>
      <w:tr w:rsidR="00F11A60" w14:paraId="1D7E404C" w14:textId="77777777" w:rsidTr="00217C39">
        <w:tc>
          <w:tcPr>
            <w:tcW w:w="3409" w:type="dxa"/>
          </w:tcPr>
          <w:p w14:paraId="7D3BE9E2" w14:textId="690B5252"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04CEA94E" w14:textId="7355885D" w:rsidR="00F11A60" w:rsidRPr="001756B9" w:rsidRDefault="00F11A60" w:rsidP="00F11A60">
            <w:pPr>
              <w:numPr>
                <w:ilvl w:val="0"/>
                <w:numId w:val="10"/>
              </w:numPr>
              <w:rPr>
                <w:rFonts w:asciiTheme="majorHAnsi" w:hAnsiTheme="majorHAnsi" w:cstheme="majorHAnsi"/>
                <w:sz w:val="20"/>
                <w:szCs w:val="20"/>
              </w:rPr>
            </w:pPr>
            <w:r w:rsidRPr="00F26D61">
              <w:rPr>
                <w:b/>
                <w:bCs/>
              </w:rPr>
              <w:t>Informieren II:</w:t>
            </w:r>
            <w:r w:rsidRPr="00F26D61">
              <w:t xml:space="preserve"> Werkstoffkunde, Bauphysik</w:t>
            </w:r>
          </w:p>
        </w:tc>
        <w:tc>
          <w:tcPr>
            <w:tcW w:w="4052" w:type="dxa"/>
          </w:tcPr>
          <w:p w14:paraId="11D7C3C6" w14:textId="77777777" w:rsidR="00F11A60" w:rsidRPr="001B477F" w:rsidRDefault="00F11A60" w:rsidP="00F11A60">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7592CA91" w14:textId="77777777" w:rsidTr="00217C39">
        <w:tc>
          <w:tcPr>
            <w:tcW w:w="3409" w:type="dxa"/>
          </w:tcPr>
          <w:p w14:paraId="557AEB94" w14:textId="7261F7E4"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F11A60" w:rsidRPr="003F542F"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0765F657" w14:textId="1FC8CDDD" w:rsidR="00F11A60" w:rsidRPr="001B477F" w:rsidRDefault="00F11A60" w:rsidP="00F11A60">
            <w:pPr>
              <w:numPr>
                <w:ilvl w:val="0"/>
                <w:numId w:val="10"/>
              </w:numPr>
              <w:rPr>
                <w:rFonts w:asciiTheme="majorHAnsi" w:hAnsiTheme="majorHAnsi" w:cstheme="majorHAnsi"/>
                <w:sz w:val="20"/>
                <w:szCs w:val="20"/>
              </w:rPr>
            </w:pPr>
            <w:r w:rsidRPr="00F26D61">
              <w:rPr>
                <w:b/>
                <w:bCs/>
              </w:rPr>
              <w:t>Planen und Entscheiden:</w:t>
            </w:r>
            <w:r w:rsidRPr="00F26D61">
              <w:t xml:space="preserve"> Materialauswahl, Fertigungs- und Montageplan</w:t>
            </w:r>
          </w:p>
        </w:tc>
        <w:tc>
          <w:tcPr>
            <w:tcW w:w="4052" w:type="dxa"/>
          </w:tcPr>
          <w:p w14:paraId="63635A79" w14:textId="5E6CD252" w:rsidR="00F11A60" w:rsidRPr="001B477F" w:rsidRDefault="00F11A60" w:rsidP="00F11A6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0527653B" w14:textId="77777777" w:rsidTr="00217C39">
        <w:tc>
          <w:tcPr>
            <w:tcW w:w="3409" w:type="dxa"/>
          </w:tcPr>
          <w:p w14:paraId="7A6DB2F4" w14:textId="30D94E05"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F11A60" w:rsidRPr="0072724C"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C0A1059" w14:textId="73D05338" w:rsidR="00F11A60" w:rsidRPr="001B477F" w:rsidRDefault="00F11A60" w:rsidP="00F11A60">
            <w:pPr>
              <w:numPr>
                <w:ilvl w:val="0"/>
                <w:numId w:val="10"/>
              </w:numPr>
              <w:rPr>
                <w:rFonts w:asciiTheme="majorHAnsi" w:hAnsiTheme="majorHAnsi" w:cstheme="majorHAnsi"/>
                <w:b/>
                <w:sz w:val="20"/>
                <w:szCs w:val="20"/>
              </w:rPr>
            </w:pPr>
            <w:r w:rsidRPr="00F26D61">
              <w:rPr>
                <w:b/>
                <w:bCs/>
              </w:rPr>
              <w:t>Durchführen:</w:t>
            </w:r>
            <w:r w:rsidRPr="00F26D61">
              <w:t xml:space="preserve"> Modellbau, Arbeitsdokumentation</w:t>
            </w:r>
          </w:p>
        </w:tc>
        <w:tc>
          <w:tcPr>
            <w:tcW w:w="4052" w:type="dxa"/>
          </w:tcPr>
          <w:p w14:paraId="0DC2CC61" w14:textId="0CE07F0A" w:rsidR="00F11A60" w:rsidRPr="001B477F" w:rsidRDefault="00F11A60" w:rsidP="00F11A60">
            <w:pPr>
              <w:jc w:val="right"/>
              <w:rPr>
                <w:rFonts w:asciiTheme="majorHAnsi" w:hAnsiTheme="majorHAnsi" w:cstheme="majorHAnsi"/>
                <w:sz w:val="20"/>
                <w:szCs w:val="20"/>
              </w:rPr>
            </w:pPr>
          </w:p>
        </w:tc>
      </w:tr>
      <w:tr w:rsidR="00F11A60" w14:paraId="75348689" w14:textId="77777777" w:rsidTr="00217C39">
        <w:tc>
          <w:tcPr>
            <w:tcW w:w="3409" w:type="dxa"/>
          </w:tcPr>
          <w:p w14:paraId="1771DBBA" w14:textId="2150B916"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F11A60" w:rsidRPr="00B95533"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2C8A600A" w14:textId="7032DE6D" w:rsidR="00F11A60" w:rsidRPr="005C4FE8" w:rsidRDefault="00F11A60" w:rsidP="00F11A60">
            <w:pPr>
              <w:numPr>
                <w:ilvl w:val="0"/>
                <w:numId w:val="10"/>
              </w:numPr>
              <w:rPr>
                <w:rFonts w:asciiTheme="majorHAnsi" w:hAnsiTheme="majorHAnsi" w:cstheme="majorHAnsi"/>
                <w:sz w:val="20"/>
                <w:szCs w:val="20"/>
              </w:rPr>
            </w:pPr>
            <w:r w:rsidRPr="00F26D61">
              <w:rPr>
                <w:b/>
                <w:bCs/>
              </w:rPr>
              <w:t>Durchführen:</w:t>
            </w:r>
            <w:r w:rsidRPr="00F26D61">
              <w:t xml:space="preserve"> Modellbau, Arbeitsdokumentation</w:t>
            </w:r>
          </w:p>
        </w:tc>
        <w:tc>
          <w:tcPr>
            <w:tcW w:w="4052" w:type="dxa"/>
          </w:tcPr>
          <w:p w14:paraId="5A79295C" w14:textId="6D6E63CE" w:rsidR="00F11A60" w:rsidRPr="00434F65" w:rsidRDefault="00F11A60" w:rsidP="00F11A60">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lastRenderedPageBreak/>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FA5E26" w:rsidP="00FA5E26">
            <w:pPr>
              <w:spacing w:after="100"/>
              <w:rPr>
                <w:rFonts w:asciiTheme="minorHAnsi" w:hAnsiTheme="minorHAnsi" w:cstheme="minorHAnsi"/>
                <w:b/>
                <w:sz w:val="22"/>
                <w:szCs w:val="22"/>
              </w:rPr>
            </w:pPr>
            <w:hyperlink r:id="rId11" w:history="1">
              <w:r w:rsidRPr="00FA5E26">
                <w:rPr>
                  <w:rStyle w:val="Hyperlink"/>
                  <w:rFonts w:asciiTheme="majorHAnsi" w:hAnsiTheme="majorHAnsi" w:cstheme="majorHAnsi"/>
                </w:rPr>
                <w:t>https://schucu-bbs.nline.nibis.de/nibis.php?menid=352</w:t>
              </w:r>
            </w:hyperlink>
          </w:p>
        </w:tc>
      </w:tr>
    </w:tbl>
    <w:p w14:paraId="1F359368" w14:textId="77777777" w:rsidR="00CB4A6B" w:rsidRPr="007F6A84" w:rsidRDefault="00CB4A6B" w:rsidP="007F6A84"/>
    <w:sectPr w:rsidR="00CB4A6B" w:rsidRPr="007F6A84" w:rsidSect="00210152">
      <w:headerReference w:type="default" r:id="rId12"/>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047D" w14:textId="77777777" w:rsidR="004C4126" w:rsidRDefault="004C4126">
      <w:r>
        <w:separator/>
      </w:r>
    </w:p>
  </w:endnote>
  <w:endnote w:type="continuationSeparator" w:id="0">
    <w:p w14:paraId="6172DA5A" w14:textId="77777777" w:rsidR="004C4126" w:rsidRDefault="004C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1449" w14:textId="77777777" w:rsidR="004C4126" w:rsidRDefault="004C4126">
      <w:r>
        <w:separator/>
      </w:r>
    </w:p>
  </w:footnote>
  <w:footnote w:type="continuationSeparator" w:id="0">
    <w:p w14:paraId="51D657D6" w14:textId="77777777" w:rsidR="004C4126" w:rsidRDefault="004C4126">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D10468"/>
    <w:multiLevelType w:val="multilevel"/>
    <w:tmpl w:val="642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A0CB0"/>
    <w:multiLevelType w:val="hybridMultilevel"/>
    <w:tmpl w:val="A490AC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8311B9A"/>
    <w:multiLevelType w:val="multilevel"/>
    <w:tmpl w:val="539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61901547"/>
    <w:multiLevelType w:val="multilevel"/>
    <w:tmpl w:val="FAB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AA6"/>
    <w:multiLevelType w:val="hybridMultilevel"/>
    <w:tmpl w:val="626AFD2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4"/>
  </w:num>
  <w:num w:numId="3" w16cid:durableId="518810850">
    <w:abstractNumId w:val="21"/>
  </w:num>
  <w:num w:numId="4" w16cid:durableId="1049569203">
    <w:abstractNumId w:val="12"/>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8"/>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5"/>
  </w:num>
  <w:num w:numId="15" w16cid:durableId="447312723">
    <w:abstractNumId w:val="16"/>
  </w:num>
  <w:num w:numId="16" w16cid:durableId="281765953">
    <w:abstractNumId w:val="5"/>
  </w:num>
  <w:num w:numId="17" w16cid:durableId="797800672">
    <w:abstractNumId w:val="2"/>
  </w:num>
  <w:num w:numId="18" w16cid:durableId="1643659891">
    <w:abstractNumId w:val="19"/>
  </w:num>
  <w:num w:numId="19" w16cid:durableId="1714621609">
    <w:abstractNumId w:val="11"/>
  </w:num>
  <w:num w:numId="20" w16cid:durableId="2090730729">
    <w:abstractNumId w:val="17"/>
  </w:num>
  <w:num w:numId="21" w16cid:durableId="1858689308">
    <w:abstractNumId w:val="13"/>
  </w:num>
  <w:num w:numId="22" w16cid:durableId="927231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74B9C"/>
    <w:rsid w:val="00383947"/>
    <w:rsid w:val="003A5149"/>
    <w:rsid w:val="003B06CA"/>
    <w:rsid w:val="003B2F6D"/>
    <w:rsid w:val="003C68B2"/>
    <w:rsid w:val="003E52A7"/>
    <w:rsid w:val="003F1477"/>
    <w:rsid w:val="003F542F"/>
    <w:rsid w:val="003F70AA"/>
    <w:rsid w:val="004056C9"/>
    <w:rsid w:val="0040739D"/>
    <w:rsid w:val="00424A65"/>
    <w:rsid w:val="00424CF0"/>
    <w:rsid w:val="00430CC1"/>
    <w:rsid w:val="00434F65"/>
    <w:rsid w:val="00437D9C"/>
    <w:rsid w:val="00445658"/>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4126"/>
    <w:rsid w:val="004C616A"/>
    <w:rsid w:val="004E0138"/>
    <w:rsid w:val="004E1925"/>
    <w:rsid w:val="004E1EE2"/>
    <w:rsid w:val="004F0B82"/>
    <w:rsid w:val="004F5DB4"/>
    <w:rsid w:val="00507182"/>
    <w:rsid w:val="005343A3"/>
    <w:rsid w:val="0053579B"/>
    <w:rsid w:val="00552726"/>
    <w:rsid w:val="00555710"/>
    <w:rsid w:val="00556EAA"/>
    <w:rsid w:val="00571BB7"/>
    <w:rsid w:val="0057521A"/>
    <w:rsid w:val="00580193"/>
    <w:rsid w:val="005864BF"/>
    <w:rsid w:val="00590B82"/>
    <w:rsid w:val="005A0054"/>
    <w:rsid w:val="005A09D7"/>
    <w:rsid w:val="005A1CE2"/>
    <w:rsid w:val="005A74FD"/>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55CE8"/>
    <w:rsid w:val="00663053"/>
    <w:rsid w:val="0066557F"/>
    <w:rsid w:val="0066617F"/>
    <w:rsid w:val="00667C8C"/>
    <w:rsid w:val="006725F2"/>
    <w:rsid w:val="00676CD7"/>
    <w:rsid w:val="00683F04"/>
    <w:rsid w:val="00686057"/>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4D98"/>
    <w:rsid w:val="007B584D"/>
    <w:rsid w:val="007B788F"/>
    <w:rsid w:val="007C3FC2"/>
    <w:rsid w:val="007D6953"/>
    <w:rsid w:val="007D7A88"/>
    <w:rsid w:val="007E0783"/>
    <w:rsid w:val="007E146C"/>
    <w:rsid w:val="007E166E"/>
    <w:rsid w:val="007F124B"/>
    <w:rsid w:val="007F1A97"/>
    <w:rsid w:val="007F3E81"/>
    <w:rsid w:val="007F6A84"/>
    <w:rsid w:val="007F6EF8"/>
    <w:rsid w:val="00811842"/>
    <w:rsid w:val="00833C0E"/>
    <w:rsid w:val="0084348F"/>
    <w:rsid w:val="0085031F"/>
    <w:rsid w:val="008617F1"/>
    <w:rsid w:val="008749FF"/>
    <w:rsid w:val="00877319"/>
    <w:rsid w:val="00884F76"/>
    <w:rsid w:val="008A465D"/>
    <w:rsid w:val="008A4F19"/>
    <w:rsid w:val="008A62A9"/>
    <w:rsid w:val="008B1667"/>
    <w:rsid w:val="008B359D"/>
    <w:rsid w:val="008B5AAF"/>
    <w:rsid w:val="008C4C2B"/>
    <w:rsid w:val="008D011F"/>
    <w:rsid w:val="008D37FF"/>
    <w:rsid w:val="008F2175"/>
    <w:rsid w:val="008F276F"/>
    <w:rsid w:val="00903AAE"/>
    <w:rsid w:val="0092026A"/>
    <w:rsid w:val="00931DF1"/>
    <w:rsid w:val="00936978"/>
    <w:rsid w:val="00946B19"/>
    <w:rsid w:val="00952F5F"/>
    <w:rsid w:val="00955B8A"/>
    <w:rsid w:val="009676EF"/>
    <w:rsid w:val="00971101"/>
    <w:rsid w:val="0098107C"/>
    <w:rsid w:val="009830B7"/>
    <w:rsid w:val="009839BA"/>
    <w:rsid w:val="0098571A"/>
    <w:rsid w:val="00994398"/>
    <w:rsid w:val="009975C2"/>
    <w:rsid w:val="009A4829"/>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697E"/>
    <w:rsid w:val="00A27055"/>
    <w:rsid w:val="00A323BD"/>
    <w:rsid w:val="00A32EFB"/>
    <w:rsid w:val="00A34DEB"/>
    <w:rsid w:val="00A5109A"/>
    <w:rsid w:val="00A569D8"/>
    <w:rsid w:val="00A6127E"/>
    <w:rsid w:val="00A6143A"/>
    <w:rsid w:val="00A66C07"/>
    <w:rsid w:val="00A8659C"/>
    <w:rsid w:val="00A86B72"/>
    <w:rsid w:val="00A94A03"/>
    <w:rsid w:val="00AA506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62C6"/>
    <w:rsid w:val="00D76330"/>
    <w:rsid w:val="00D877E4"/>
    <w:rsid w:val="00D92041"/>
    <w:rsid w:val="00DA461A"/>
    <w:rsid w:val="00DA5A73"/>
    <w:rsid w:val="00DA6290"/>
    <w:rsid w:val="00DA71FB"/>
    <w:rsid w:val="00DB2D22"/>
    <w:rsid w:val="00DB7F1D"/>
    <w:rsid w:val="00DC6C1C"/>
    <w:rsid w:val="00DD4F2C"/>
    <w:rsid w:val="00DD5417"/>
    <w:rsid w:val="00DD59AE"/>
    <w:rsid w:val="00DD7A07"/>
    <w:rsid w:val="00DE4925"/>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1A60"/>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 w:type="paragraph" w:styleId="StandardWeb">
    <w:name w:val="Normal (Web)"/>
    <w:basedOn w:val="Standard"/>
    <w:uiPriority w:val="99"/>
    <w:unhideWhenUsed/>
    <w:rsid w:val="00931DF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4588">
      <w:bodyDiv w:val="1"/>
      <w:marLeft w:val="0"/>
      <w:marRight w:val="0"/>
      <w:marTop w:val="0"/>
      <w:marBottom w:val="0"/>
      <w:divBdr>
        <w:top w:val="none" w:sz="0" w:space="0" w:color="auto"/>
        <w:left w:val="none" w:sz="0" w:space="0" w:color="auto"/>
        <w:bottom w:val="none" w:sz="0" w:space="0" w:color="auto"/>
        <w:right w:val="none" w:sz="0" w:space="0" w:color="auto"/>
      </w:divBdr>
    </w:div>
    <w:div w:id="934022629">
      <w:bodyDiv w:val="1"/>
      <w:marLeft w:val="0"/>
      <w:marRight w:val="0"/>
      <w:marTop w:val="0"/>
      <w:marBottom w:val="0"/>
      <w:divBdr>
        <w:top w:val="none" w:sz="0" w:space="0" w:color="auto"/>
        <w:left w:val="none" w:sz="0" w:space="0" w:color="auto"/>
        <w:bottom w:val="none" w:sz="0" w:space="0" w:color="auto"/>
        <w:right w:val="none" w:sz="0" w:space="0" w:color="auto"/>
      </w:divBdr>
    </w:div>
    <w:div w:id="1064182492">
      <w:bodyDiv w:val="1"/>
      <w:marLeft w:val="0"/>
      <w:marRight w:val="0"/>
      <w:marTop w:val="0"/>
      <w:marBottom w:val="0"/>
      <w:divBdr>
        <w:top w:val="none" w:sz="0" w:space="0" w:color="auto"/>
        <w:left w:val="none" w:sz="0" w:space="0" w:color="auto"/>
        <w:bottom w:val="none" w:sz="0" w:space="0" w:color="auto"/>
        <w:right w:val="none" w:sz="0" w:space="0" w:color="auto"/>
      </w:divBdr>
    </w:div>
    <w:div w:id="1630667647">
      <w:bodyDiv w:val="1"/>
      <w:marLeft w:val="0"/>
      <w:marRight w:val="0"/>
      <w:marTop w:val="0"/>
      <w:marBottom w:val="0"/>
      <w:divBdr>
        <w:top w:val="none" w:sz="0" w:space="0" w:color="auto"/>
        <w:left w:val="none" w:sz="0" w:space="0" w:color="auto"/>
        <w:bottom w:val="none" w:sz="0" w:space="0" w:color="auto"/>
        <w:right w:val="none" w:sz="0" w:space="0" w:color="auto"/>
      </w:divBdr>
    </w:div>
    <w:div w:id="1659188909">
      <w:bodyDiv w:val="1"/>
      <w:marLeft w:val="0"/>
      <w:marRight w:val="0"/>
      <w:marTop w:val="0"/>
      <w:marBottom w:val="0"/>
      <w:divBdr>
        <w:top w:val="none" w:sz="0" w:space="0" w:color="auto"/>
        <w:left w:val="none" w:sz="0" w:space="0" w:color="auto"/>
        <w:bottom w:val="none" w:sz="0" w:space="0" w:color="auto"/>
        <w:right w:val="none" w:sz="0" w:space="0" w:color="auto"/>
      </w:divBdr>
    </w:div>
    <w:div w:id="17981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cu-bbs.nline.nibis.de/nibis.php?menid=352" TargetMode="External"/><Relationship Id="rId5" Type="http://schemas.openxmlformats.org/officeDocument/2006/relationships/webSettings" Target="webSettings.xml"/><Relationship Id="rId10" Type="http://schemas.openxmlformats.org/officeDocument/2006/relationships/hyperlink" Target="https://bbs2nom.moodle-nds.de/course/view.php?id=122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Lars Stapel</cp:lastModifiedBy>
  <cp:revision>4</cp:revision>
  <cp:lastPrinted>2022-05-16T11:16:00Z</cp:lastPrinted>
  <dcterms:created xsi:type="dcterms:W3CDTF">2025-05-28T08:39:00Z</dcterms:created>
  <dcterms:modified xsi:type="dcterms:W3CDTF">2025-05-28T12:24:00Z</dcterms:modified>
</cp:coreProperties>
</file>