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89"/>
        <w:gridCol w:w="1211"/>
        <w:gridCol w:w="200"/>
        <w:gridCol w:w="121"/>
        <w:gridCol w:w="295"/>
        <w:gridCol w:w="128"/>
        <w:gridCol w:w="1076"/>
        <w:gridCol w:w="1956"/>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7AF1ABC5" w14:textId="6B47C370" w:rsidR="00CD5362" w:rsidRPr="00AB0EAC" w:rsidRDefault="00CD5362" w:rsidP="005C3E85">
            <w:pPr>
              <w:spacing w:before="60" w:after="60"/>
              <w:rPr>
                <w:rFonts w:ascii="Tahoma" w:hAnsi="Tahoma" w:cs="Tahoma"/>
                <w:b/>
              </w:rPr>
            </w:pPr>
            <w:r w:rsidRPr="00AB0EAC">
              <w:rPr>
                <w:rFonts w:ascii="Tahoma" w:hAnsi="Tahoma" w:cs="Tahoma"/>
                <w:b/>
              </w:rPr>
              <w:t xml:space="preserve">Bildungsgang: </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77777777" w:rsidR="00CD5362" w:rsidRPr="008B5AAF" w:rsidRDefault="002E6476" w:rsidP="002D3979">
            <w:pPr>
              <w:spacing w:before="60" w:after="60"/>
              <w:rPr>
                <w:rFonts w:ascii="Tahoma" w:hAnsi="Tahoma" w:cs="Tahoma"/>
                <w:sz w:val="22"/>
                <w:szCs w:val="22"/>
              </w:rPr>
            </w:pPr>
            <w:r w:rsidRPr="008B5AAF">
              <w:rPr>
                <w:rFonts w:ascii="Tahoma" w:hAnsi="Tahoma" w:cs="Tahoma"/>
                <w:sz w:val="22"/>
                <w:szCs w:val="22"/>
              </w:rPr>
              <w:t>B</w:t>
            </w:r>
            <w:r w:rsidR="00185E04" w:rsidRPr="008B5AAF">
              <w:rPr>
                <w:rFonts w:ascii="Tahoma" w:hAnsi="Tahoma" w:cs="Tahoma"/>
                <w:sz w:val="22"/>
                <w:szCs w:val="22"/>
              </w:rPr>
              <w:t>1</w:t>
            </w:r>
            <w:r w:rsidR="00F33A83">
              <w:rPr>
                <w:rFonts w:ascii="Tahoma" w:hAnsi="Tahoma" w:cs="Tahoma"/>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7531339B" w:rsidR="009D7B9F" w:rsidRPr="002E0FE5" w:rsidRDefault="00CD5362" w:rsidP="002D3979">
            <w:pPr>
              <w:spacing w:before="180" w:after="120" w:line="360" w:lineRule="auto"/>
              <w:rPr>
                <w:rFonts w:ascii="Tahoma" w:hAnsi="Tahoma" w:cs="Tahoma"/>
              </w:rPr>
            </w:pPr>
            <w:r w:rsidRPr="002E0FE5">
              <w:rPr>
                <w:rFonts w:ascii="Tahoma" w:hAnsi="Tahoma" w:cs="Tahoma"/>
                <w:b/>
              </w:rPr>
              <w:t>Lernfeld</w:t>
            </w:r>
            <w:r w:rsidR="00F721AB" w:rsidRPr="002E0FE5">
              <w:rPr>
                <w:rFonts w:ascii="Tahoma" w:hAnsi="Tahoma" w:cs="Tahoma"/>
                <w:b/>
              </w:rPr>
              <w:t>:</w:t>
            </w:r>
            <w:r w:rsidRPr="002E0FE5">
              <w:rPr>
                <w:rFonts w:ascii="Tahoma" w:hAnsi="Tahoma" w:cs="Tahoma"/>
                <w:b/>
              </w:rPr>
              <w:t xml:space="preserve"> </w:t>
            </w:r>
            <w:r w:rsidRPr="002E0FE5">
              <w:rPr>
                <w:rFonts w:ascii="Tahoma" w:hAnsi="Tahoma" w:cs="Tahoma"/>
              </w:rPr>
              <w:t>[</w:t>
            </w:r>
            <w:r w:rsidR="00AA5063" w:rsidRPr="002E0FE5">
              <w:rPr>
                <w:rFonts w:ascii="Tahoma" w:hAnsi="Tahoma" w:cs="Tahoma"/>
              </w:rPr>
              <w:t>26</w:t>
            </w:r>
            <w:r w:rsidR="002E6476" w:rsidRPr="002E0FE5">
              <w:rPr>
                <w:rFonts w:ascii="Tahoma" w:hAnsi="Tahoma" w:cs="Tahoma"/>
              </w:rPr>
              <w:t xml:space="preserve"> </w:t>
            </w:r>
            <w:r w:rsidRPr="002E0FE5">
              <w:rPr>
                <w:rFonts w:ascii="Tahoma" w:hAnsi="Tahoma" w:cs="Tahoma"/>
              </w:rPr>
              <w:t>h]</w:t>
            </w:r>
            <w:r w:rsidR="009D7B9F" w:rsidRPr="002E0FE5">
              <w:rPr>
                <w:rFonts w:ascii="Tahoma" w:hAnsi="Tahoma" w:cs="Tahoma"/>
              </w:rPr>
              <w:br/>
            </w:r>
            <w:r w:rsidR="002E0FE5" w:rsidRPr="002E0FE5">
              <w:rPr>
                <w:rFonts w:ascii="Tahoma" w:hAnsi="Tahoma" w:cs="Tahoma"/>
              </w:rPr>
              <w:t>LF 8 Tragende Holz</w:t>
            </w:r>
            <w:r w:rsidR="002E0FE5">
              <w:rPr>
                <w:rFonts w:ascii="Tahoma" w:hAnsi="Tahoma" w:cs="Tahoma"/>
              </w:rPr>
              <w:t>wände errichten.</w:t>
            </w:r>
          </w:p>
        </w:tc>
        <w:tc>
          <w:tcPr>
            <w:tcW w:w="5245" w:type="dxa"/>
            <w:gridSpan w:val="2"/>
            <w:tcBorders>
              <w:top w:val="nil"/>
              <w:bottom w:val="nil"/>
            </w:tcBorders>
            <w:shd w:val="clear" w:color="auto" w:fill="F2F2F2" w:themeFill="background1" w:themeFillShade="F2"/>
          </w:tcPr>
          <w:p w14:paraId="11309AD3" w14:textId="3B217D20" w:rsidR="009D7B9F" w:rsidRPr="002E0FE5" w:rsidRDefault="009D7B9F" w:rsidP="009D7B9F">
            <w:pPr>
              <w:spacing w:before="180" w:after="120"/>
              <w:jc w:val="center"/>
              <w:rPr>
                <w:rFonts w:cs="Arial"/>
                <w:i/>
              </w:rPr>
            </w:pPr>
          </w:p>
        </w:tc>
        <w:tc>
          <w:tcPr>
            <w:tcW w:w="6059" w:type="dxa"/>
            <w:gridSpan w:val="5"/>
            <w:tcBorders>
              <w:top w:val="nil"/>
              <w:bottom w:val="nil"/>
              <w:right w:val="single" w:sz="4" w:space="0" w:color="auto"/>
            </w:tcBorders>
            <w:shd w:val="clear" w:color="auto" w:fill="FFFFFF" w:themeFill="background1"/>
          </w:tcPr>
          <w:p w14:paraId="10B0440E" w14:textId="77777777" w:rsidR="00B009A6" w:rsidRPr="002E0FE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2068"/>
              <w:gridCol w:w="1282"/>
            </w:tblGrid>
            <w:tr w:rsidR="00076570" w14:paraId="0EBF080C" w14:textId="77777777" w:rsidTr="006C556B">
              <w:tc>
                <w:tcPr>
                  <w:tcW w:w="3709" w:type="dxa"/>
                </w:tcPr>
                <w:p w14:paraId="552F97CA" w14:textId="77777777"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456C0C">
                    <w:rPr>
                      <w:rFonts w:ascii="Tahoma" w:hAnsi="Tahoma" w:cs="Tahoma"/>
                      <w:noProof/>
                      <w:sz w:val="20"/>
                      <w:szCs w:val="20"/>
                    </w:rPr>
                    <w:t>x</w:t>
                  </w:r>
                  <w:r w:rsidR="00F721AB" w:rsidRPr="008F2175">
                    <w:rPr>
                      <w:rFonts w:ascii="Tahoma" w:hAnsi="Tahoma" w:cs="Tahoma"/>
                      <w:noProof/>
                      <w:sz w:val="20"/>
                      <w:szCs w:val="20"/>
                    </w:rPr>
                    <w:t xml:space="preserve"> Lernsituationen</w:t>
                  </w:r>
                </w:p>
              </w:tc>
              <w:tc>
                <w:tcPr>
                  <w:tcW w:w="2124" w:type="dxa"/>
                </w:tcPr>
                <w:p w14:paraId="1DDEFDE5" w14:textId="3C6288E7"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p>
              </w:tc>
            </w:tr>
            <w:tr w:rsidR="00076570" w14:paraId="3A74BF50" w14:textId="77777777" w:rsidTr="006C556B">
              <w:tc>
                <w:tcPr>
                  <w:tcW w:w="3709" w:type="dxa"/>
                </w:tcPr>
                <w:p w14:paraId="51A45D45" w14:textId="2FA086DD"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p>
              </w:tc>
              <w:tc>
                <w:tcPr>
                  <w:tcW w:w="2124" w:type="dxa"/>
                </w:tcPr>
                <w:p w14:paraId="299B00A7" w14:textId="16BD055F"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5C3E85">
                    <w:rPr>
                      <w:rFonts w:ascii="Tahoma" w:hAnsi="Tahoma" w:cs="Tahoma"/>
                      <w:noProof/>
                      <w:sz w:val="20"/>
                      <w:szCs w:val="20"/>
                    </w:rPr>
                    <w:t>xx</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3D83CB59" w14:textId="77777777" w:rsidR="00AA5063" w:rsidRDefault="004A2627" w:rsidP="002D3979">
            <w:pPr>
              <w:spacing w:before="60" w:after="60"/>
              <w:rPr>
                <w:rFonts w:ascii="Tahoma" w:hAnsi="Tahoma" w:cs="Tahoma"/>
                <w:b/>
              </w:rPr>
            </w:pPr>
            <w:r w:rsidRPr="00F14095">
              <w:rPr>
                <w:rFonts w:ascii="Tahoma" w:hAnsi="Tahoma" w:cs="Tahoma"/>
                <w:b/>
              </w:rPr>
              <w:t>Curriculare Vorgaben:</w:t>
            </w:r>
          </w:p>
          <w:p w14:paraId="68FF365D" w14:textId="1B85FFD8" w:rsidR="004472C3" w:rsidRDefault="00AA5063" w:rsidP="002D3979">
            <w:pPr>
              <w:spacing w:before="60" w:after="60"/>
              <w:rPr>
                <w:rFonts w:ascii="Tahoma" w:hAnsi="Tahoma" w:cs="Tahoma"/>
                <w:b/>
              </w:rPr>
            </w:pPr>
            <w:r w:rsidRPr="00AA5063">
              <w:rPr>
                <w:rFonts w:ascii="Tahoma" w:hAnsi="Tahoma" w:cs="Tahoma"/>
                <w:b/>
                <w:noProof/>
              </w:rPr>
              <w:drawing>
                <wp:inline distT="0" distB="0" distL="0" distR="0" wp14:anchorId="09903C5B" wp14:editId="2C217B5A">
                  <wp:extent cx="5760720" cy="2449830"/>
                  <wp:effectExtent l="0" t="0" r="0" b="0"/>
                  <wp:docPr id="96230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r w:rsidR="004A2627" w:rsidRPr="00F14095">
              <w:rPr>
                <w:rFonts w:ascii="Tahoma" w:hAnsi="Tahoma" w:cs="Tahoma"/>
                <w:b/>
              </w:rPr>
              <w:t xml:space="preserve"> </w:t>
            </w:r>
          </w:p>
          <w:p w14:paraId="21D57DCE" w14:textId="77777777" w:rsidR="006E13E8" w:rsidRDefault="006E13E8" w:rsidP="007520C7">
            <w:pPr>
              <w:jc w:val="center"/>
              <w:rPr>
                <w:b/>
                <w:sz w:val="20"/>
                <w:szCs w:val="20"/>
              </w:rPr>
            </w:pPr>
          </w:p>
          <w:p w14:paraId="16481085" w14:textId="77777777" w:rsidR="007520C7" w:rsidRPr="00D762C6" w:rsidRDefault="007520C7" w:rsidP="00AA5063">
            <w:pP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7169FDBE" w14:textId="77777777" w:rsidR="002D3979" w:rsidRPr="00E14866" w:rsidRDefault="00E14866" w:rsidP="00E14866">
            <w:pPr>
              <w:spacing w:before="60" w:after="60"/>
              <w:rPr>
                <w:rFonts w:asciiTheme="minorHAnsi" w:hAnsiTheme="minorHAnsi" w:cstheme="minorHAnsi"/>
                <w:i/>
                <w:sz w:val="20"/>
                <w:szCs w:val="20"/>
              </w:rPr>
            </w:pPr>
            <w:r w:rsidRPr="00E14866">
              <w:rPr>
                <w:rFonts w:asciiTheme="minorHAnsi" w:hAnsiTheme="minorHAnsi" w:cstheme="minorHAnsi"/>
                <w:i/>
                <w:sz w:val="20"/>
                <w:szCs w:val="20"/>
              </w:rPr>
              <w:t xml:space="preserve">Vorgaben aus den Ordnungsmitteln, wie z. B. Rahmenrichtlinien, Rahmenlehrplan einschließlich Lernfelder, Qualifizierungsbausteine </w:t>
            </w:r>
          </w:p>
          <w:p w14:paraId="23D268AA" w14:textId="2B2ADDBC" w:rsidR="007520C7" w:rsidRPr="00D762C6" w:rsidRDefault="007520C7" w:rsidP="004B70B2">
            <w:pPr>
              <w:pStyle w:val="Default"/>
              <w:rPr>
                <w:rFonts w:asciiTheme="majorHAnsi" w:hAnsiTheme="majorHAnsi" w:cstheme="majorHAnsi"/>
                <w:sz w:val="20"/>
                <w:szCs w:val="20"/>
              </w:rPr>
            </w:pPr>
          </w:p>
        </w:tc>
      </w:tr>
      <w:tr w:rsidR="00076570"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E31E4" w14:textId="77777777" w:rsidR="00076570" w:rsidRPr="00AB0EAC" w:rsidRDefault="00076570" w:rsidP="00076570">
            <w:pPr>
              <w:spacing w:before="120" w:after="120"/>
              <w:rPr>
                <w:sz w:val="28"/>
                <w:szCs w:val="28"/>
              </w:rPr>
            </w:pPr>
            <w:r w:rsidRPr="00AB0EAC">
              <w:rPr>
                <w:b/>
                <w:sz w:val="28"/>
                <w:szCs w:val="28"/>
              </w:rPr>
              <w:t xml:space="preserve">Titel der Lernsituation:  </w:t>
            </w:r>
          </w:p>
          <w:p w14:paraId="514CD82F" w14:textId="4E966BB2" w:rsidR="00076570" w:rsidRPr="00076570" w:rsidRDefault="00AA5063" w:rsidP="00076570">
            <w:pPr>
              <w:spacing w:before="120" w:after="120"/>
              <w:rPr>
                <w:b/>
                <w:sz w:val="20"/>
              </w:rPr>
            </w:pPr>
            <w:r w:rsidRPr="00103BE0">
              <w:t>Holzrahmenwand für ein Einfamilienhaus errichten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0"/>
              <w:gridCol w:w="1209"/>
            </w:tblGrid>
            <w:tr w:rsidR="005C1200" w14:paraId="3BF07968" w14:textId="77777777" w:rsidTr="0040739D">
              <w:tc>
                <w:tcPr>
                  <w:tcW w:w="2845" w:type="dxa"/>
                  <w:shd w:val="clear" w:color="auto" w:fill="F2F2F2" w:themeFill="background1" w:themeFillShade="F2"/>
                </w:tcPr>
                <w:p w14:paraId="0C0E738C" w14:textId="77777777" w:rsidR="005C1200" w:rsidRDefault="005C1200" w:rsidP="009D7B9F">
                  <w:pPr>
                    <w:spacing w:before="120" w:after="120"/>
                    <w:jc w:val="center"/>
                  </w:pPr>
                  <w:r>
                    <w:rPr>
                      <w:b/>
                      <w:sz w:val="20"/>
                    </w:rPr>
                    <w:t>Geplanter Zeitrichtwert:</w:t>
                  </w:r>
                </w:p>
                <w:p w14:paraId="217367A0" w14:textId="10F50091" w:rsidR="005C1200" w:rsidRPr="002575F3" w:rsidRDefault="005C3E85" w:rsidP="009D7B9F">
                  <w:pPr>
                    <w:spacing w:before="120" w:after="120"/>
                    <w:jc w:val="center"/>
                    <w:rPr>
                      <w:sz w:val="20"/>
                    </w:rPr>
                  </w:pPr>
                  <w:r>
                    <w:rPr>
                      <w:b/>
                      <w:i/>
                      <w:sz w:val="20"/>
                    </w:rPr>
                    <w:t>x</w:t>
                  </w:r>
                  <w:r w:rsidR="005C1200" w:rsidRPr="002575F3">
                    <w:rPr>
                      <w:i/>
                      <w:sz w:val="20"/>
                    </w:rPr>
                    <w:t xml:space="preserve"> </w:t>
                  </w:r>
                  <w:r w:rsidR="00F33A83">
                    <w:rPr>
                      <w:i/>
                      <w:sz w:val="20"/>
                    </w:rPr>
                    <w:t>Unterrichts</w:t>
                  </w:r>
                  <w:r w:rsidR="005C1200" w:rsidRPr="002575F3">
                    <w:rPr>
                      <w:i/>
                      <w:sz w:val="20"/>
                    </w:rPr>
                    <w:t>stunden</w:t>
                  </w:r>
                  <w:r w:rsidR="004C616A" w:rsidRPr="002575F3">
                    <w:rPr>
                      <w:i/>
                      <w:sz w:val="20"/>
                    </w:rPr>
                    <w:t xml:space="preserve"> </w:t>
                  </w:r>
                </w:p>
              </w:tc>
              <w:tc>
                <w:tcPr>
                  <w:tcW w:w="2846" w:type="dxa"/>
                </w:tcPr>
                <w:p w14:paraId="635B2D94" w14:textId="77777777" w:rsidR="005C1200" w:rsidRPr="008749FF" w:rsidRDefault="00215E7A" w:rsidP="008749FF">
                  <w:pPr>
                    <w:spacing w:beforeLines="60" w:before="144" w:after="60"/>
                    <w:rPr>
                      <w:i/>
                      <w:color w:val="0563C1" w:themeColor="hyperlink"/>
                      <w:sz w:val="20"/>
                      <w:u w:val="single"/>
                    </w:rPr>
                  </w:pPr>
                  <w:hyperlink r:id="rId10" w:history="1">
                    <w:r>
                      <w:rPr>
                        <w:rStyle w:val="Hyperlink"/>
                        <w:i/>
                        <w:sz w:val="20"/>
                      </w:rPr>
                      <w:t xml:space="preserve">Link zum </w:t>
                    </w:r>
                    <w:proofErr w:type="spellStart"/>
                    <w:r>
                      <w:rPr>
                        <w:rStyle w:val="Hyperlink"/>
                        <w:i/>
                        <w:sz w:val="20"/>
                      </w:rPr>
                      <w:t>Moodle</w:t>
                    </w:r>
                    <w:proofErr w:type="spellEnd"/>
                    <w:r>
                      <w:rPr>
                        <w:rStyle w:val="Hyperlink"/>
                        <w:i/>
                        <w:sz w:val="20"/>
                      </w:rPr>
                      <w:t>-Kurs Politik</w:t>
                    </w:r>
                  </w:hyperlink>
                </w:p>
              </w:tc>
            </w:tr>
          </w:tbl>
          <w:p w14:paraId="136E612D" w14:textId="77777777" w:rsidR="00076570" w:rsidRPr="009830B7" w:rsidRDefault="00076570" w:rsidP="009D7B9F">
            <w:pPr>
              <w:spacing w:before="120" w:after="120"/>
              <w:jc w:val="center"/>
              <w:rPr>
                <w:i/>
              </w:rPr>
            </w:pPr>
          </w:p>
        </w:tc>
      </w:tr>
      <w:tr w:rsidR="002D3979"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Default="002D3979" w:rsidP="001E3BAA">
            <w:pPr>
              <w:spacing w:beforeLines="60" w:before="144" w:afterLines="60" w:after="144"/>
              <w:ind w:left="1"/>
              <w:rPr>
                <w:rFonts w:ascii="Calibri" w:hAnsi="Calibri" w:cs="Calibri"/>
              </w:rPr>
            </w:pPr>
            <w:r w:rsidRPr="00E14866">
              <w:rPr>
                <w:rFonts w:ascii="Calibri" w:hAnsi="Calibri" w:cs="Calibri"/>
                <w:b/>
              </w:rPr>
              <w:lastRenderedPageBreak/>
              <w:t>Handlungssituation</w:t>
            </w:r>
            <w:r w:rsidRPr="00E14866">
              <w:rPr>
                <w:rFonts w:ascii="Calibri" w:hAnsi="Calibri" w:cs="Calibri"/>
              </w:rPr>
              <w:t xml:space="preserve">:  </w:t>
            </w:r>
          </w:p>
          <w:p w14:paraId="4FFEA3BC" w14:textId="14F6BD71" w:rsidR="00AA5063" w:rsidRDefault="00AA5063" w:rsidP="001E3BAA">
            <w:pPr>
              <w:spacing w:beforeLines="60" w:before="144" w:afterLines="60" w:after="144"/>
              <w:ind w:left="1"/>
              <w:rPr>
                <w:rFonts w:ascii="Calibri" w:hAnsi="Calibri" w:cs="Calibri"/>
              </w:rPr>
            </w:pPr>
            <w:r w:rsidRPr="00103BE0">
              <w:rPr>
                <w:rFonts w:ascii="Calibri" w:eastAsia="Calibri" w:hAnsi="Calibri" w:cs="Arial"/>
                <w:kern w:val="2"/>
                <w:sz w:val="22"/>
                <w:szCs w:val="22"/>
                <w:lang w:eastAsia="en-US"/>
                <w14:ligatures w14:val="standardContextual"/>
              </w:rPr>
              <w:t>Ein regionaler Holzbaubetrieb erhält den Auftrag, tragende Außenwände eines Einfamilienhauses in Holzrahmenbauweise zu errichten. Die Auszubildenden werden beauftragt, die Planung und den Aufbau einer beispielhaften Wand im schulischen Rahmen zu übernehmen.</w:t>
            </w:r>
          </w:p>
          <w:p w14:paraId="4296733D" w14:textId="77777777" w:rsidR="005C3E85" w:rsidRDefault="005C3E85" w:rsidP="001E3BAA">
            <w:pPr>
              <w:spacing w:beforeLines="60" w:before="144" w:afterLines="60" w:after="144"/>
              <w:rPr>
                <w:rFonts w:ascii="Calibri" w:hAnsi="Calibri" w:cs="Calibri"/>
                <w:sz w:val="22"/>
                <w:szCs w:val="22"/>
              </w:rPr>
            </w:pPr>
          </w:p>
          <w:p w14:paraId="5E5ADBF2" w14:textId="77777777" w:rsidR="005C3E85" w:rsidRDefault="005C3E85" w:rsidP="001E3BAA">
            <w:pPr>
              <w:spacing w:beforeLines="60" w:before="144" w:afterLines="60" w:after="144"/>
              <w:rPr>
                <w:rFonts w:ascii="Calibri" w:hAnsi="Calibri" w:cs="Calibri"/>
                <w:b/>
                <w:sz w:val="22"/>
                <w:szCs w:val="22"/>
              </w:rPr>
            </w:pPr>
          </w:p>
          <w:p w14:paraId="56A45F25" w14:textId="77777777" w:rsidR="005C3E85" w:rsidRDefault="005C3E85" w:rsidP="001E3BAA">
            <w:pPr>
              <w:spacing w:beforeLines="60" w:before="144" w:afterLines="60" w:after="144"/>
              <w:rPr>
                <w:rFonts w:ascii="Calibri" w:hAnsi="Calibri" w:cs="Calibri"/>
                <w:b/>
                <w:sz w:val="22"/>
                <w:szCs w:val="22"/>
              </w:rPr>
            </w:pPr>
          </w:p>
          <w:p w14:paraId="6D26ED23" w14:textId="77777777" w:rsidR="005C3E85" w:rsidRDefault="005C3E85" w:rsidP="001E3BAA">
            <w:pPr>
              <w:spacing w:beforeLines="60" w:before="144" w:afterLines="60" w:after="144"/>
              <w:rPr>
                <w:rFonts w:ascii="Calibri" w:hAnsi="Calibri" w:cs="Calibri"/>
                <w:b/>
                <w:sz w:val="22"/>
                <w:szCs w:val="22"/>
              </w:rPr>
            </w:pPr>
          </w:p>
          <w:p w14:paraId="0269BAB0" w14:textId="127E1724" w:rsidR="00B22A64" w:rsidRPr="00E14866" w:rsidRDefault="00B22A64" w:rsidP="001E3BAA">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AA5063" w:rsidRPr="00103BE0">
              <w:rPr>
                <w:rFonts w:ascii="Calibri" w:eastAsia="Calibri" w:hAnsi="Calibri" w:cs="Arial"/>
                <w:kern w:val="2"/>
                <w:sz w:val="22"/>
                <w:szCs w:val="22"/>
                <w:lang w:eastAsia="en-US"/>
                <w14:ligatures w14:val="standardContextual"/>
              </w:rPr>
              <w:t>Modell einer tragenden Holzrahmenwand, Planunterlagen, Dokumentation des Montageprozesses</w:t>
            </w:r>
          </w:p>
        </w:tc>
        <w:tc>
          <w:tcPr>
            <w:tcW w:w="3933" w:type="dxa"/>
            <w:gridSpan w:val="3"/>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36202E8A" w14:textId="2EEF9A1D" w:rsidR="00215E7A" w:rsidRPr="00C267A0" w:rsidRDefault="00C267A0" w:rsidP="00215E7A">
            <w:pPr>
              <w:spacing w:beforeLines="60" w:before="144" w:afterLines="60" w:after="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AA5063" w:rsidRPr="00103BE0">
              <w:rPr>
                <w:rFonts w:ascii="Calibri" w:eastAsia="Calibri" w:hAnsi="Calibri" w:cs="Arial"/>
                <w:kern w:val="2"/>
                <w:sz w:val="22"/>
                <w:szCs w:val="22"/>
                <w:lang w:eastAsia="en-US"/>
                <w14:ligatures w14:val="standardContextual"/>
              </w:rPr>
              <w:t>Projektarbeit, Gruppenarbeit, Planspiel, Simulation, Werkstattarbeit</w:t>
            </w:r>
          </w:p>
        </w:tc>
      </w:tr>
      <w:tr w:rsidR="00AE7F46" w14:paraId="5DD09C47" w14:textId="77777777" w:rsidTr="00AE7F46">
        <w:tblPrEx>
          <w:tblBorders>
            <w:insideH w:val="single" w:sz="4" w:space="0" w:color="auto"/>
            <w:insideV w:val="single" w:sz="4" w:space="0" w:color="auto"/>
          </w:tblBorders>
        </w:tblPrEx>
        <w:tc>
          <w:tcPr>
            <w:tcW w:w="7366" w:type="dxa"/>
            <w:gridSpan w:val="2"/>
          </w:tcPr>
          <w:p w14:paraId="67B440A7" w14:textId="77777777" w:rsidR="00AA5063" w:rsidRDefault="00AE7F46" w:rsidP="00AF6A8E">
            <w:pPr>
              <w:spacing w:after="239"/>
              <w:ind w:left="1"/>
              <w:rPr>
                <w:rFonts w:ascii="Calibri" w:hAnsi="Calibri" w:cs="Calibri"/>
                <w:b/>
                <w:sz w:val="22"/>
                <w:szCs w:val="22"/>
              </w:rPr>
            </w:pPr>
            <w:bookmarkStart w:id="0" w:name="_Hlk191203001"/>
            <w:r w:rsidRPr="00AE7F46">
              <w:rPr>
                <w:rFonts w:ascii="Calibri" w:hAnsi="Calibri" w:cs="Calibri"/>
                <w:b/>
                <w:sz w:val="22"/>
                <w:szCs w:val="22"/>
              </w:rPr>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p>
          <w:p w14:paraId="092138CA" w14:textId="77777777" w:rsidR="00AA5063" w:rsidRPr="00103BE0" w:rsidRDefault="00AA5063" w:rsidP="00AA5063">
            <w:pPr>
              <w:spacing w:after="160" w:line="259" w:lineRule="auto"/>
            </w:pPr>
            <w:r w:rsidRPr="00103BE0">
              <w:t>Einbindung in Werkstattunterricht und Nutzung CAD-Software</w:t>
            </w:r>
          </w:p>
          <w:p w14:paraId="00123442" w14:textId="39108E81" w:rsidR="00AF6A8E" w:rsidRPr="00AF6A8E" w:rsidRDefault="00AF6A8E" w:rsidP="00AF6A8E">
            <w:pPr>
              <w:spacing w:after="239"/>
              <w:ind w:left="1"/>
              <w:rPr>
                <w:rFonts w:ascii="Calibri" w:hAnsi="Calibri" w:cs="Calibri"/>
                <w:b/>
                <w:sz w:val="22"/>
                <w:szCs w:val="22"/>
              </w:rPr>
            </w:pPr>
          </w:p>
        </w:tc>
        <w:tc>
          <w:tcPr>
            <w:tcW w:w="6910" w:type="dxa"/>
            <w:gridSpan w:val="6"/>
          </w:tcPr>
          <w:p w14:paraId="556B8125" w14:textId="77777777" w:rsidR="008749FF"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14:paraId="184658FD" w14:textId="77777777" w:rsidR="00AF6A8E" w:rsidRPr="00B447E6"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bookmarkEnd w:id="0"/>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F11A60" w14:paraId="7E6D31AC" w14:textId="77777777" w:rsidTr="00217C39">
        <w:tc>
          <w:tcPr>
            <w:tcW w:w="3409" w:type="dxa"/>
          </w:tcPr>
          <w:p w14:paraId="6DDB4C3A" w14:textId="77777777" w:rsidR="00F11A60" w:rsidRPr="00F26D61" w:rsidRDefault="00F11A60" w:rsidP="00F11A60">
            <w:pPr>
              <w:numPr>
                <w:ilvl w:val="0"/>
                <w:numId w:val="21"/>
              </w:numPr>
              <w:spacing w:after="160" w:line="259" w:lineRule="auto"/>
            </w:pPr>
            <w:r w:rsidRPr="00F26D61">
              <w:t>analysieren Baupläne,</w:t>
            </w:r>
          </w:p>
          <w:p w14:paraId="1108452F" w14:textId="77777777" w:rsidR="00F11A60" w:rsidRPr="00F26D61" w:rsidRDefault="00F11A60" w:rsidP="00F11A60">
            <w:pPr>
              <w:numPr>
                <w:ilvl w:val="0"/>
                <w:numId w:val="21"/>
              </w:numPr>
              <w:spacing w:after="160" w:line="259" w:lineRule="auto"/>
            </w:pPr>
            <w:r w:rsidRPr="00F26D61">
              <w:lastRenderedPageBreak/>
              <w:t>planen die Konstruktion tragender Wände,</w:t>
            </w:r>
          </w:p>
          <w:p w14:paraId="0552D626" w14:textId="77777777" w:rsidR="00F11A60" w:rsidRPr="00F26D61" w:rsidRDefault="00F11A60" w:rsidP="00F11A60">
            <w:pPr>
              <w:numPr>
                <w:ilvl w:val="0"/>
                <w:numId w:val="21"/>
              </w:numPr>
              <w:spacing w:after="160" w:line="259" w:lineRule="auto"/>
            </w:pPr>
            <w:r w:rsidRPr="00F26D61">
              <w:t>wählen geeignete Materialien,</w:t>
            </w:r>
          </w:p>
          <w:p w14:paraId="55EE1A83" w14:textId="77777777" w:rsidR="00F11A60" w:rsidRPr="00F26D61" w:rsidRDefault="00F11A60" w:rsidP="00F11A60">
            <w:pPr>
              <w:numPr>
                <w:ilvl w:val="0"/>
                <w:numId w:val="21"/>
              </w:numPr>
              <w:spacing w:after="160" w:line="259" w:lineRule="auto"/>
            </w:pPr>
            <w:r w:rsidRPr="00F26D61">
              <w:t>führen Montagearbeiten fachgerecht durch.</w:t>
            </w:r>
          </w:p>
          <w:p w14:paraId="3B651241" w14:textId="1161BEA4" w:rsidR="00F11A60" w:rsidRPr="001B477F" w:rsidRDefault="00F11A60" w:rsidP="00F11A60">
            <w:pPr>
              <w:pStyle w:val="Listenabsatz"/>
              <w:numPr>
                <w:ilvl w:val="0"/>
                <w:numId w:val="21"/>
              </w:numPr>
              <w:spacing w:before="60" w:afterLines="300" w:after="720" w:line="242" w:lineRule="auto"/>
              <w:ind w:right="58"/>
              <w:rPr>
                <w:rFonts w:asciiTheme="majorHAnsi" w:hAnsiTheme="majorHAnsi" w:cstheme="majorHAnsi"/>
                <w:sz w:val="20"/>
                <w:szCs w:val="20"/>
              </w:rPr>
            </w:pPr>
            <w:r w:rsidRPr="00103BE0">
              <w:t>, Dämmstoffe, Schutzmaßnahmen</w:t>
            </w:r>
          </w:p>
        </w:tc>
        <w:tc>
          <w:tcPr>
            <w:tcW w:w="3371" w:type="dxa"/>
          </w:tcPr>
          <w:p w14:paraId="22ED9568" w14:textId="77777777" w:rsidR="00F11A60" w:rsidRPr="00F26D61" w:rsidRDefault="00F11A60" w:rsidP="00F11A60">
            <w:pPr>
              <w:numPr>
                <w:ilvl w:val="0"/>
                <w:numId w:val="22"/>
              </w:numPr>
              <w:spacing w:after="160" w:line="259" w:lineRule="auto"/>
            </w:pPr>
            <w:r w:rsidRPr="00F26D61">
              <w:lastRenderedPageBreak/>
              <w:t>arbeiten im Team,</w:t>
            </w:r>
          </w:p>
          <w:p w14:paraId="0F8980BD" w14:textId="77777777" w:rsidR="00F11A60" w:rsidRPr="00F26D61" w:rsidRDefault="00F11A60" w:rsidP="00F11A60">
            <w:pPr>
              <w:numPr>
                <w:ilvl w:val="0"/>
                <w:numId w:val="22"/>
              </w:numPr>
              <w:spacing w:after="160" w:line="259" w:lineRule="auto"/>
            </w:pPr>
            <w:r w:rsidRPr="00F26D61">
              <w:t>reflektieren ihr Vorgehen,</w:t>
            </w:r>
          </w:p>
          <w:p w14:paraId="291C90DA" w14:textId="77777777" w:rsidR="00F11A60" w:rsidRPr="00F26D61" w:rsidRDefault="00F11A60" w:rsidP="00F11A60">
            <w:pPr>
              <w:numPr>
                <w:ilvl w:val="0"/>
                <w:numId w:val="22"/>
              </w:numPr>
              <w:spacing w:after="160" w:line="259" w:lineRule="auto"/>
            </w:pPr>
            <w:r w:rsidRPr="00F26D61">
              <w:lastRenderedPageBreak/>
              <w:t>kommunizieren Ergebnisse,</w:t>
            </w:r>
          </w:p>
          <w:p w14:paraId="47EDCBE5" w14:textId="77777777" w:rsidR="00F11A60" w:rsidRPr="00F26D61" w:rsidRDefault="00F11A60" w:rsidP="00F11A60">
            <w:pPr>
              <w:numPr>
                <w:ilvl w:val="0"/>
                <w:numId w:val="22"/>
              </w:numPr>
              <w:spacing w:after="160" w:line="259" w:lineRule="auto"/>
            </w:pPr>
            <w:r w:rsidRPr="00F26D61">
              <w:t>übernehmen Verantwortung für Arbeitssicherheit und Qualität.</w:t>
            </w:r>
          </w:p>
          <w:p w14:paraId="029411E3" w14:textId="1CB65BC5" w:rsidR="00F11A60" w:rsidRPr="001B477F" w:rsidRDefault="00F11A60" w:rsidP="00F11A60">
            <w:pPr>
              <w:pStyle w:val="Listenabsatz"/>
              <w:spacing w:before="60" w:afterLines="300" w:after="720"/>
              <w:ind w:left="360"/>
              <w:jc w:val="both"/>
              <w:rPr>
                <w:rFonts w:asciiTheme="majorHAnsi" w:hAnsiTheme="majorHAnsi" w:cstheme="majorHAnsi"/>
                <w:sz w:val="20"/>
                <w:szCs w:val="20"/>
              </w:rPr>
            </w:pPr>
          </w:p>
        </w:tc>
        <w:tc>
          <w:tcPr>
            <w:tcW w:w="3444" w:type="dxa"/>
          </w:tcPr>
          <w:p w14:paraId="50B8F7FB" w14:textId="648C25A0" w:rsidR="00F11A60" w:rsidRPr="001B477F" w:rsidRDefault="00F11A60" w:rsidP="00F11A60">
            <w:pPr>
              <w:numPr>
                <w:ilvl w:val="0"/>
                <w:numId w:val="10"/>
              </w:numPr>
              <w:rPr>
                <w:rFonts w:asciiTheme="majorHAnsi" w:hAnsiTheme="majorHAnsi" w:cstheme="majorHAnsi"/>
                <w:sz w:val="20"/>
                <w:szCs w:val="20"/>
              </w:rPr>
            </w:pPr>
            <w:r w:rsidRPr="00F26D61">
              <w:rPr>
                <w:b/>
                <w:bCs/>
              </w:rPr>
              <w:lastRenderedPageBreak/>
              <w:t>Informieren I:</w:t>
            </w:r>
            <w:r w:rsidRPr="00F26D61">
              <w:t xml:space="preserve"> Planunterlagen analysieren, </w:t>
            </w:r>
            <w:r w:rsidRPr="00F26D61">
              <w:lastRenderedPageBreak/>
              <w:t>Anforderungen recherchieren</w:t>
            </w:r>
          </w:p>
        </w:tc>
        <w:tc>
          <w:tcPr>
            <w:tcW w:w="4052" w:type="dxa"/>
          </w:tcPr>
          <w:p w14:paraId="715C5671" w14:textId="308C5C68" w:rsidR="00F11A60" w:rsidRPr="001B477F" w:rsidRDefault="00F11A60" w:rsidP="00F11A60">
            <w:pPr>
              <w:rPr>
                <w:rFonts w:asciiTheme="majorHAnsi" w:hAnsiTheme="majorHAnsi" w:cstheme="majorHAnsi"/>
                <w:sz w:val="20"/>
                <w:szCs w:val="20"/>
              </w:rPr>
            </w:pPr>
            <w:r w:rsidRPr="00103BE0">
              <w:rPr>
                <w:rFonts w:ascii="Calibri" w:eastAsia="Calibri" w:hAnsi="Calibri" w:cs="Arial"/>
                <w:kern w:val="2"/>
                <w:sz w:val="22"/>
                <w:szCs w:val="22"/>
                <w:lang w:eastAsia="en-US"/>
                <w14:ligatures w14:val="standardContextual"/>
              </w:rPr>
              <w:lastRenderedPageBreak/>
              <w:t>CAD, Werkstattarbeit, Modelle, Fachliteratur, Präsentation</w:t>
            </w:r>
          </w:p>
        </w:tc>
      </w:tr>
      <w:tr w:rsidR="00F11A60" w14:paraId="1D7E404C" w14:textId="77777777" w:rsidTr="00217C39">
        <w:tc>
          <w:tcPr>
            <w:tcW w:w="3409" w:type="dxa"/>
          </w:tcPr>
          <w:p w14:paraId="7D3BE9E2" w14:textId="690B5252"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04CEA94E" w14:textId="7355885D" w:rsidR="00F11A60" w:rsidRPr="001756B9" w:rsidRDefault="00F11A60" w:rsidP="00F11A60">
            <w:pPr>
              <w:numPr>
                <w:ilvl w:val="0"/>
                <w:numId w:val="10"/>
              </w:numPr>
              <w:rPr>
                <w:rFonts w:asciiTheme="majorHAnsi" w:hAnsiTheme="majorHAnsi" w:cstheme="majorHAnsi"/>
                <w:sz w:val="20"/>
                <w:szCs w:val="20"/>
              </w:rPr>
            </w:pPr>
            <w:r w:rsidRPr="00F26D61">
              <w:rPr>
                <w:b/>
                <w:bCs/>
              </w:rPr>
              <w:t>Informieren II:</w:t>
            </w:r>
            <w:r w:rsidRPr="00F26D61">
              <w:t xml:space="preserve"> Werkstoffkunde, Bauphysik</w:t>
            </w:r>
          </w:p>
        </w:tc>
        <w:tc>
          <w:tcPr>
            <w:tcW w:w="4052" w:type="dxa"/>
          </w:tcPr>
          <w:p w14:paraId="11D7C3C6" w14:textId="77777777" w:rsidR="00F11A60" w:rsidRPr="001B477F" w:rsidRDefault="00F11A60" w:rsidP="00F11A60">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7592CA91" w14:textId="77777777" w:rsidTr="00217C39">
        <w:tc>
          <w:tcPr>
            <w:tcW w:w="3409" w:type="dxa"/>
          </w:tcPr>
          <w:p w14:paraId="557AEB94" w14:textId="7261F7E4"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F11A60" w:rsidRPr="003F542F"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0765F657" w14:textId="1FC8CDDD" w:rsidR="00F11A60" w:rsidRPr="001B477F" w:rsidRDefault="00F11A60" w:rsidP="00F11A60">
            <w:pPr>
              <w:numPr>
                <w:ilvl w:val="0"/>
                <w:numId w:val="10"/>
              </w:numPr>
              <w:rPr>
                <w:rFonts w:asciiTheme="majorHAnsi" w:hAnsiTheme="majorHAnsi" w:cstheme="majorHAnsi"/>
                <w:sz w:val="20"/>
                <w:szCs w:val="20"/>
              </w:rPr>
            </w:pPr>
            <w:r w:rsidRPr="00F26D61">
              <w:rPr>
                <w:b/>
                <w:bCs/>
              </w:rPr>
              <w:t>Planen und Entscheiden:</w:t>
            </w:r>
            <w:r w:rsidRPr="00F26D61">
              <w:t xml:space="preserve"> Materialauswahl, Fertigungs- und Montageplan</w:t>
            </w:r>
          </w:p>
        </w:tc>
        <w:tc>
          <w:tcPr>
            <w:tcW w:w="4052" w:type="dxa"/>
          </w:tcPr>
          <w:p w14:paraId="63635A79" w14:textId="5E6CD252" w:rsidR="00F11A60" w:rsidRPr="001B477F" w:rsidRDefault="00F11A60" w:rsidP="00F11A6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0527653B" w14:textId="77777777" w:rsidTr="00217C39">
        <w:tc>
          <w:tcPr>
            <w:tcW w:w="3409" w:type="dxa"/>
          </w:tcPr>
          <w:p w14:paraId="7A6DB2F4" w14:textId="30D94E05"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F11A60" w:rsidRPr="0072724C"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C0A1059" w14:textId="73D05338" w:rsidR="00F11A60" w:rsidRPr="001B477F" w:rsidRDefault="00F11A60" w:rsidP="00F11A60">
            <w:pPr>
              <w:numPr>
                <w:ilvl w:val="0"/>
                <w:numId w:val="10"/>
              </w:numPr>
              <w:rPr>
                <w:rFonts w:asciiTheme="majorHAnsi" w:hAnsiTheme="majorHAnsi" w:cstheme="majorHAnsi"/>
                <w:b/>
                <w:sz w:val="20"/>
                <w:szCs w:val="20"/>
              </w:rPr>
            </w:pPr>
            <w:r w:rsidRPr="00F26D61">
              <w:rPr>
                <w:b/>
                <w:bCs/>
              </w:rPr>
              <w:t>Durchführen:</w:t>
            </w:r>
            <w:r w:rsidRPr="00F26D61">
              <w:t xml:space="preserve"> Modellbau, Arbeitsdokumentation</w:t>
            </w:r>
          </w:p>
        </w:tc>
        <w:tc>
          <w:tcPr>
            <w:tcW w:w="4052" w:type="dxa"/>
          </w:tcPr>
          <w:p w14:paraId="0DC2CC61" w14:textId="0CE07F0A" w:rsidR="00F11A60" w:rsidRPr="001B477F" w:rsidRDefault="00F11A60" w:rsidP="00F11A60">
            <w:pPr>
              <w:jc w:val="right"/>
              <w:rPr>
                <w:rFonts w:asciiTheme="majorHAnsi" w:hAnsiTheme="majorHAnsi" w:cstheme="majorHAnsi"/>
                <w:sz w:val="20"/>
                <w:szCs w:val="20"/>
              </w:rPr>
            </w:pPr>
          </w:p>
        </w:tc>
      </w:tr>
      <w:tr w:rsidR="00F11A60" w14:paraId="75348689" w14:textId="77777777" w:rsidTr="00217C39">
        <w:tc>
          <w:tcPr>
            <w:tcW w:w="3409" w:type="dxa"/>
          </w:tcPr>
          <w:p w14:paraId="1771DBBA" w14:textId="2150B916"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F11A60" w:rsidRPr="00B95533"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2C8A600A" w14:textId="7032DE6D" w:rsidR="00F11A60" w:rsidRPr="005C4FE8" w:rsidRDefault="00F11A60" w:rsidP="00F11A60">
            <w:pPr>
              <w:numPr>
                <w:ilvl w:val="0"/>
                <w:numId w:val="10"/>
              </w:numPr>
              <w:rPr>
                <w:rFonts w:asciiTheme="majorHAnsi" w:hAnsiTheme="majorHAnsi" w:cstheme="majorHAnsi"/>
                <w:sz w:val="20"/>
                <w:szCs w:val="20"/>
              </w:rPr>
            </w:pPr>
            <w:r w:rsidRPr="00F26D61">
              <w:rPr>
                <w:b/>
                <w:bCs/>
              </w:rPr>
              <w:t>Durchführen:</w:t>
            </w:r>
            <w:r w:rsidRPr="00F26D61">
              <w:t xml:space="preserve"> Modellbau, Arbeitsdokumentation</w:t>
            </w:r>
          </w:p>
        </w:tc>
        <w:tc>
          <w:tcPr>
            <w:tcW w:w="4052" w:type="dxa"/>
          </w:tcPr>
          <w:p w14:paraId="5A79295C" w14:textId="6D6E63CE" w:rsidR="00F11A60" w:rsidRPr="00434F65" w:rsidRDefault="00F11A60" w:rsidP="00F11A60">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FA5E26" w:rsidP="00FA5E26">
            <w:pPr>
              <w:spacing w:after="100"/>
              <w:rPr>
                <w:rFonts w:asciiTheme="minorHAnsi" w:hAnsiTheme="minorHAnsi" w:cstheme="minorHAnsi"/>
                <w:b/>
                <w:sz w:val="22"/>
                <w:szCs w:val="22"/>
              </w:rPr>
            </w:pPr>
            <w:hyperlink r:id="rId11" w:history="1">
              <w:r w:rsidRPr="00FA5E26">
                <w:rPr>
                  <w:rStyle w:val="Hyperlink"/>
                  <w:rFonts w:asciiTheme="majorHAnsi" w:hAnsiTheme="majorHAnsi" w:cstheme="majorHAnsi"/>
                </w:rPr>
                <w:t>https://schucu-bbs.nline.nibis.de/nibis.php?menid=352</w:t>
              </w:r>
            </w:hyperlink>
          </w:p>
        </w:tc>
      </w:tr>
    </w:tbl>
    <w:p w14:paraId="1F359368" w14:textId="77777777" w:rsidR="00CB4A6B" w:rsidRPr="007F6A84" w:rsidRDefault="00CB4A6B" w:rsidP="007F6A84"/>
    <w:sectPr w:rsidR="00CB4A6B" w:rsidRPr="007F6A84" w:rsidSect="00210152">
      <w:headerReference w:type="default" r:id="rId12"/>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C8C7" w14:textId="77777777" w:rsidR="00D74397" w:rsidRDefault="00D74397">
      <w:r>
        <w:separator/>
      </w:r>
    </w:p>
  </w:endnote>
  <w:endnote w:type="continuationSeparator" w:id="0">
    <w:p w14:paraId="42BDFCF8" w14:textId="77777777" w:rsidR="00D74397" w:rsidRDefault="00D7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1B19" w14:textId="77777777" w:rsidR="00D74397" w:rsidRDefault="00D74397">
      <w:r>
        <w:separator/>
      </w:r>
    </w:p>
  </w:footnote>
  <w:footnote w:type="continuationSeparator" w:id="0">
    <w:p w14:paraId="433A6587" w14:textId="77777777" w:rsidR="00D74397" w:rsidRDefault="00D74397">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D10468"/>
    <w:multiLevelType w:val="multilevel"/>
    <w:tmpl w:val="642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A0CB0"/>
    <w:multiLevelType w:val="hybridMultilevel"/>
    <w:tmpl w:val="A490AC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8311B9A"/>
    <w:multiLevelType w:val="multilevel"/>
    <w:tmpl w:val="539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61901547"/>
    <w:multiLevelType w:val="multilevel"/>
    <w:tmpl w:val="FAB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AA6"/>
    <w:multiLevelType w:val="hybridMultilevel"/>
    <w:tmpl w:val="626AFD2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4"/>
  </w:num>
  <w:num w:numId="3" w16cid:durableId="518810850">
    <w:abstractNumId w:val="21"/>
  </w:num>
  <w:num w:numId="4" w16cid:durableId="1049569203">
    <w:abstractNumId w:val="12"/>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8"/>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5"/>
  </w:num>
  <w:num w:numId="15" w16cid:durableId="447312723">
    <w:abstractNumId w:val="16"/>
  </w:num>
  <w:num w:numId="16" w16cid:durableId="281765953">
    <w:abstractNumId w:val="5"/>
  </w:num>
  <w:num w:numId="17" w16cid:durableId="797800672">
    <w:abstractNumId w:val="2"/>
  </w:num>
  <w:num w:numId="18" w16cid:durableId="1643659891">
    <w:abstractNumId w:val="19"/>
  </w:num>
  <w:num w:numId="19" w16cid:durableId="1714621609">
    <w:abstractNumId w:val="11"/>
  </w:num>
  <w:num w:numId="20" w16cid:durableId="2090730729">
    <w:abstractNumId w:val="17"/>
  </w:num>
  <w:num w:numId="21" w16cid:durableId="1858689308">
    <w:abstractNumId w:val="13"/>
  </w:num>
  <w:num w:numId="22" w16cid:durableId="927231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46072"/>
    <w:rsid w:val="002575F3"/>
    <w:rsid w:val="00271E8F"/>
    <w:rsid w:val="00273B04"/>
    <w:rsid w:val="00280D69"/>
    <w:rsid w:val="002832BB"/>
    <w:rsid w:val="00290FAD"/>
    <w:rsid w:val="002A23E8"/>
    <w:rsid w:val="002B39B5"/>
    <w:rsid w:val="002D3979"/>
    <w:rsid w:val="002D616E"/>
    <w:rsid w:val="002E0FE5"/>
    <w:rsid w:val="002E6476"/>
    <w:rsid w:val="002E6F21"/>
    <w:rsid w:val="0031534B"/>
    <w:rsid w:val="00315E65"/>
    <w:rsid w:val="00322F92"/>
    <w:rsid w:val="00336AAF"/>
    <w:rsid w:val="003374DB"/>
    <w:rsid w:val="00340D8E"/>
    <w:rsid w:val="0035271E"/>
    <w:rsid w:val="0035383D"/>
    <w:rsid w:val="003547BF"/>
    <w:rsid w:val="00360708"/>
    <w:rsid w:val="003631F6"/>
    <w:rsid w:val="00383947"/>
    <w:rsid w:val="003A5149"/>
    <w:rsid w:val="003B06CA"/>
    <w:rsid w:val="003B2F6D"/>
    <w:rsid w:val="003C68B2"/>
    <w:rsid w:val="003E52A7"/>
    <w:rsid w:val="003F147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2726"/>
    <w:rsid w:val="00555710"/>
    <w:rsid w:val="00556EAA"/>
    <w:rsid w:val="00571BB7"/>
    <w:rsid w:val="0057521A"/>
    <w:rsid w:val="00580193"/>
    <w:rsid w:val="005864BF"/>
    <w:rsid w:val="00590B82"/>
    <w:rsid w:val="005A0054"/>
    <w:rsid w:val="005A09D7"/>
    <w:rsid w:val="005A1CE2"/>
    <w:rsid w:val="005A74FD"/>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55CE8"/>
    <w:rsid w:val="00663053"/>
    <w:rsid w:val="0066557F"/>
    <w:rsid w:val="0066617F"/>
    <w:rsid w:val="00667C8C"/>
    <w:rsid w:val="006725F2"/>
    <w:rsid w:val="00676CD7"/>
    <w:rsid w:val="00683F04"/>
    <w:rsid w:val="00686057"/>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24B"/>
    <w:rsid w:val="007F1A97"/>
    <w:rsid w:val="007F3E81"/>
    <w:rsid w:val="007F6A84"/>
    <w:rsid w:val="007F6EF8"/>
    <w:rsid w:val="00811842"/>
    <w:rsid w:val="00833C0E"/>
    <w:rsid w:val="0084348F"/>
    <w:rsid w:val="0085031F"/>
    <w:rsid w:val="008617F1"/>
    <w:rsid w:val="008749FF"/>
    <w:rsid w:val="00877319"/>
    <w:rsid w:val="00884F76"/>
    <w:rsid w:val="008A465D"/>
    <w:rsid w:val="008A4F19"/>
    <w:rsid w:val="008A62A9"/>
    <w:rsid w:val="008B1667"/>
    <w:rsid w:val="008B359D"/>
    <w:rsid w:val="008B5AAF"/>
    <w:rsid w:val="008C4C2B"/>
    <w:rsid w:val="008D011F"/>
    <w:rsid w:val="008D37FF"/>
    <w:rsid w:val="008F2175"/>
    <w:rsid w:val="008F276F"/>
    <w:rsid w:val="00903AAE"/>
    <w:rsid w:val="0092026A"/>
    <w:rsid w:val="00936978"/>
    <w:rsid w:val="00946B19"/>
    <w:rsid w:val="00952F5F"/>
    <w:rsid w:val="00955B8A"/>
    <w:rsid w:val="009676EF"/>
    <w:rsid w:val="00971101"/>
    <w:rsid w:val="0098107C"/>
    <w:rsid w:val="009830B7"/>
    <w:rsid w:val="009839BA"/>
    <w:rsid w:val="0098571A"/>
    <w:rsid w:val="00994398"/>
    <w:rsid w:val="009975C2"/>
    <w:rsid w:val="009A4829"/>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697E"/>
    <w:rsid w:val="00A27055"/>
    <w:rsid w:val="00A323BD"/>
    <w:rsid w:val="00A32EFB"/>
    <w:rsid w:val="00A34DEB"/>
    <w:rsid w:val="00A5109A"/>
    <w:rsid w:val="00A569D8"/>
    <w:rsid w:val="00A6127E"/>
    <w:rsid w:val="00A6143A"/>
    <w:rsid w:val="00A66C07"/>
    <w:rsid w:val="00A8659C"/>
    <w:rsid w:val="00A86B72"/>
    <w:rsid w:val="00A94A03"/>
    <w:rsid w:val="00AA506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64A05"/>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4397"/>
    <w:rsid w:val="00D762C6"/>
    <w:rsid w:val="00D76330"/>
    <w:rsid w:val="00D877E4"/>
    <w:rsid w:val="00D92041"/>
    <w:rsid w:val="00DA461A"/>
    <w:rsid w:val="00DA5A73"/>
    <w:rsid w:val="00DA6290"/>
    <w:rsid w:val="00DA71FB"/>
    <w:rsid w:val="00DB2D22"/>
    <w:rsid w:val="00DC6C1C"/>
    <w:rsid w:val="00DD4F2C"/>
    <w:rsid w:val="00DD5417"/>
    <w:rsid w:val="00DD59AE"/>
    <w:rsid w:val="00DD7A07"/>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1A60"/>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cu-bbs.nline.nibis.de/nibis.php?menid=352" TargetMode="External"/><Relationship Id="rId5" Type="http://schemas.openxmlformats.org/officeDocument/2006/relationships/webSettings" Target="webSettings.xml"/><Relationship Id="rId10" Type="http://schemas.openxmlformats.org/officeDocument/2006/relationships/hyperlink" Target="https://bbs2nom.moodle-nds.de/course/view.php?id=122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Lars Stapel</cp:lastModifiedBy>
  <cp:revision>3</cp:revision>
  <cp:lastPrinted>2022-05-16T11:16:00Z</cp:lastPrinted>
  <dcterms:created xsi:type="dcterms:W3CDTF">2025-05-28T08:39:00Z</dcterms:created>
  <dcterms:modified xsi:type="dcterms:W3CDTF">2025-05-28T12:24:00Z</dcterms:modified>
</cp:coreProperties>
</file>