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394"/>
        <w:gridCol w:w="851"/>
        <w:gridCol w:w="142"/>
        <w:gridCol w:w="1984"/>
        <w:gridCol w:w="284"/>
        <w:gridCol w:w="1417"/>
        <w:gridCol w:w="2232"/>
      </w:tblGrid>
      <w:tr w:rsidR="00CD5362" w:rsidTr="00280D6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</w:tcPr>
          <w:p w:rsidR="004A2627" w:rsidRPr="00AB0EAC" w:rsidRDefault="00CD5362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AB0EAC">
              <w:rPr>
                <w:rFonts w:ascii="Tahoma" w:hAnsi="Tahoma" w:cs="Tahoma"/>
                <w:b/>
              </w:rPr>
              <w:t>Berufs</w:t>
            </w:r>
            <w:r w:rsidR="00FA16D3">
              <w:rPr>
                <w:rFonts w:ascii="Tahoma" w:hAnsi="Tahoma" w:cs="Tahoma"/>
                <w:b/>
              </w:rPr>
              <w:t>bezogener</w:t>
            </w:r>
            <w:r w:rsidRPr="00AB0EAC">
              <w:rPr>
                <w:rFonts w:ascii="Tahoma" w:hAnsi="Tahoma" w:cs="Tahoma"/>
                <w:b/>
              </w:rPr>
              <w:t xml:space="preserve"> </w:t>
            </w:r>
          </w:p>
          <w:p w:rsidR="00CD5362" w:rsidRPr="00AB0EAC" w:rsidRDefault="00CD5362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AB0EAC">
              <w:rPr>
                <w:rFonts w:ascii="Tahoma" w:hAnsi="Tahoma" w:cs="Tahoma"/>
                <w:b/>
              </w:rPr>
              <w:t>Lernbereich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5362" w:rsidRPr="00AB0EAC" w:rsidRDefault="00CD5362" w:rsidP="002D3979">
            <w:pPr>
              <w:spacing w:before="60" w:after="60"/>
              <w:rPr>
                <w:rFonts w:ascii="Tahoma" w:hAnsi="Tahoma" w:cs="Tahoma"/>
                <w:b/>
                <w:i/>
              </w:rPr>
            </w:pPr>
            <w:r w:rsidRPr="00AB0EAC">
              <w:rPr>
                <w:rFonts w:ascii="Tahoma" w:hAnsi="Tahoma" w:cs="Tahoma"/>
                <w:b/>
              </w:rPr>
              <w:t xml:space="preserve">Bildungsgang: </w:t>
            </w:r>
            <w:r w:rsidR="00FA16D3">
              <w:rPr>
                <w:rFonts w:ascii="Tahoma" w:hAnsi="Tahoma" w:cs="Tahoma"/>
                <w:b/>
              </w:rPr>
              <w:t>BS</w:t>
            </w:r>
            <w:r w:rsidR="007A12A0">
              <w:rPr>
                <w:rFonts w:ascii="Tahoma" w:hAnsi="Tahoma" w:cs="Tahoma"/>
                <w:b/>
              </w:rPr>
              <w:t>BMA2</w:t>
            </w:r>
            <w:r w:rsidR="00FA16D3">
              <w:rPr>
                <w:rFonts w:ascii="Tahoma" w:hAnsi="Tahoma" w:cs="Tahoma"/>
                <w:b/>
              </w:rPr>
              <w:t>K</w:t>
            </w:r>
          </w:p>
          <w:p w:rsidR="00CD5362" w:rsidRPr="00AB0EAC" w:rsidRDefault="007A12A0" w:rsidP="002D3979">
            <w:pPr>
              <w:spacing w:before="60" w:after="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Berufsschule 2</w:t>
            </w:r>
            <w:r w:rsidR="009D7B9F">
              <w:rPr>
                <w:rFonts w:ascii="Tahoma" w:hAnsi="Tahoma" w:cs="Tahoma"/>
                <w:b/>
              </w:rPr>
              <w:t>. Jahr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D5362" w:rsidRPr="009830B7" w:rsidRDefault="00CD5362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9830B7">
              <w:rPr>
                <w:rFonts w:ascii="Tahoma" w:hAnsi="Tahoma" w:cs="Tahoma"/>
                <w:b/>
              </w:rPr>
              <w:t>Klasse:</w:t>
            </w:r>
          </w:p>
          <w:p w:rsidR="00CD5362" w:rsidRPr="008B5AAF" w:rsidRDefault="002E6476" w:rsidP="002D3979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 w:rsidRPr="008B5AAF">
              <w:rPr>
                <w:rFonts w:ascii="Tahoma" w:hAnsi="Tahoma" w:cs="Tahoma"/>
                <w:sz w:val="22"/>
                <w:szCs w:val="22"/>
              </w:rPr>
              <w:t>B</w:t>
            </w:r>
            <w:r w:rsidR="007A12A0">
              <w:rPr>
                <w:rFonts w:ascii="Tahoma" w:hAnsi="Tahoma" w:cs="Tahoma"/>
                <w:sz w:val="22"/>
                <w:szCs w:val="22"/>
              </w:rPr>
              <w:t>MA</w:t>
            </w:r>
            <w:r w:rsidR="00FA16D3">
              <w:rPr>
                <w:rFonts w:ascii="Tahoma" w:hAnsi="Tahoma" w:cs="Tahoma"/>
                <w:sz w:val="22"/>
                <w:szCs w:val="22"/>
              </w:rPr>
              <w:t>.._A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D5362" w:rsidRDefault="00CD5362" w:rsidP="0040739D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6F857A7E" wp14:editId="6EB92104">
                  <wp:extent cx="1101610" cy="312420"/>
                  <wp:effectExtent l="0" t="0" r="381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25" cy="3198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362" w:rsidTr="0040739D">
        <w:tc>
          <w:tcPr>
            <w:tcW w:w="2972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D7B9F" w:rsidRPr="00AB0EAC" w:rsidRDefault="00CD5362" w:rsidP="002D3979">
            <w:pPr>
              <w:spacing w:before="180" w:after="120" w:line="360" w:lineRule="auto"/>
              <w:rPr>
                <w:rFonts w:ascii="Tahoma" w:hAnsi="Tahoma" w:cs="Tahoma"/>
              </w:rPr>
            </w:pPr>
            <w:r w:rsidRPr="00AB0EAC">
              <w:rPr>
                <w:rFonts w:ascii="Tahoma" w:hAnsi="Tahoma" w:cs="Tahoma"/>
                <w:b/>
              </w:rPr>
              <w:t>Lernfeld</w:t>
            </w:r>
            <w:r w:rsidR="00F721AB" w:rsidRPr="00AB0EAC">
              <w:rPr>
                <w:rFonts w:ascii="Tahoma" w:hAnsi="Tahoma" w:cs="Tahoma"/>
                <w:b/>
              </w:rPr>
              <w:t>:</w:t>
            </w:r>
            <w:r w:rsidRPr="00AB0EAC">
              <w:rPr>
                <w:rFonts w:ascii="Tahoma" w:hAnsi="Tahoma" w:cs="Tahoma"/>
                <w:b/>
              </w:rPr>
              <w:t xml:space="preserve"> </w:t>
            </w:r>
            <w:r w:rsidRPr="00AB0EAC">
              <w:rPr>
                <w:rFonts w:ascii="Tahoma" w:hAnsi="Tahoma" w:cs="Tahoma"/>
              </w:rPr>
              <w:t>[</w:t>
            </w:r>
            <w:r w:rsidR="00D66665">
              <w:rPr>
                <w:rFonts w:ascii="Tahoma" w:hAnsi="Tahoma" w:cs="Tahoma"/>
              </w:rPr>
              <w:t>60</w:t>
            </w:r>
            <w:r w:rsidR="002E6476">
              <w:rPr>
                <w:rFonts w:ascii="Tahoma" w:hAnsi="Tahoma" w:cs="Tahoma"/>
              </w:rPr>
              <w:t xml:space="preserve"> </w:t>
            </w:r>
            <w:r w:rsidRPr="00AB0EAC">
              <w:rPr>
                <w:rFonts w:ascii="Tahoma" w:hAnsi="Tahoma" w:cs="Tahoma"/>
              </w:rPr>
              <w:t>h]</w:t>
            </w:r>
            <w:r w:rsidR="009D7B9F">
              <w:rPr>
                <w:rFonts w:ascii="Tahoma" w:hAnsi="Tahoma" w:cs="Tahoma"/>
              </w:rPr>
              <w:br/>
            </w:r>
          </w:p>
        </w:tc>
        <w:tc>
          <w:tcPr>
            <w:tcW w:w="524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9D7B9F" w:rsidRDefault="003B1E88" w:rsidP="003B1E88">
            <w:pPr>
              <w:spacing w:before="180" w:after="120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“</w:t>
            </w:r>
            <w:r w:rsidRPr="003B1E88">
              <w:rPr>
                <w:rFonts w:ascii="Tahoma" w:hAnsi="Tahoma" w:cs="Tahoma"/>
                <w:sz w:val="32"/>
                <w:szCs w:val="32"/>
              </w:rPr>
              <w:t>Einschalige Wände mauern</w:t>
            </w:r>
            <w:r w:rsidR="009D7B9F" w:rsidRPr="003B1E88">
              <w:rPr>
                <w:rFonts w:ascii="Tahoma" w:hAnsi="Tahoma" w:cs="Tahoma"/>
                <w:sz w:val="32"/>
                <w:szCs w:val="32"/>
              </w:rPr>
              <w:t>“</w:t>
            </w:r>
          </w:p>
          <w:p w:rsidR="00D47784" w:rsidRPr="003B1E88" w:rsidRDefault="00D47784" w:rsidP="003B1E88">
            <w:pPr>
              <w:spacing w:before="180" w:after="120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LF 7</w:t>
            </w:r>
          </w:p>
        </w:tc>
        <w:tc>
          <w:tcPr>
            <w:tcW w:w="6059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009A6" w:rsidRPr="00F14095" w:rsidRDefault="00B009A6" w:rsidP="00F721AB">
            <w:pPr>
              <w:spacing w:before="20" w:after="20"/>
              <w:rPr>
                <w:rFonts w:ascii="Tahoma" w:hAnsi="Tahoma" w:cs="Tahoma"/>
                <w:noProof/>
                <w:sz w:val="20"/>
                <w:szCs w:val="20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709"/>
              <w:gridCol w:w="2124"/>
            </w:tblGrid>
            <w:tr w:rsidR="00076570" w:rsidTr="006C556B">
              <w:tc>
                <w:tcPr>
                  <w:tcW w:w="3709" w:type="dxa"/>
                </w:tcPr>
                <w:p w:rsidR="00076570" w:rsidRPr="008F2175" w:rsidRDefault="00280D69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Lernfeld</w:t>
                  </w:r>
                  <w:r w:rsidR="00F721AB" w:rsidRPr="008F2175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 besteht aus </w:t>
                  </w:r>
                  <w:r w:rsidR="007A12A0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4</w:t>
                  </w:r>
                  <w:r w:rsidR="00F721AB" w:rsidRPr="008F2175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 Lernsituationen</w:t>
                  </w:r>
                </w:p>
              </w:tc>
              <w:tc>
                <w:tcPr>
                  <w:tcW w:w="2124" w:type="dxa"/>
                </w:tcPr>
                <w:p w:rsidR="00076570" w:rsidRDefault="00F721AB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Abteilung: </w:t>
                  </w:r>
                  <w:r w:rsidR="006247B8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2</w:t>
                  </w:r>
                </w:p>
              </w:tc>
            </w:tr>
            <w:tr w:rsidR="00076570" w:rsidTr="006C556B">
              <w:tc>
                <w:tcPr>
                  <w:tcW w:w="3709" w:type="dxa"/>
                </w:tcPr>
                <w:p w:rsidR="00076570" w:rsidRDefault="00076570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 w:rsidRPr="00F14095">
                    <w:rPr>
                      <w:rFonts w:ascii="Tahoma" w:hAnsi="Tahoma" w:cs="Tahoma"/>
                      <w:sz w:val="20"/>
                      <w:szCs w:val="20"/>
                    </w:rPr>
                    <w:t xml:space="preserve">Ansprechpartner: </w:t>
                  </w:r>
                  <w:r w:rsidR="007A12A0">
                    <w:rPr>
                      <w:rFonts w:ascii="Tahoma" w:hAnsi="Tahoma" w:cs="Tahoma"/>
                      <w:sz w:val="20"/>
                      <w:szCs w:val="20"/>
                    </w:rPr>
                    <w:br/>
                  </w:r>
                  <w:proofErr w:type="spellStart"/>
                  <w:r w:rsidR="006247B8">
                    <w:rPr>
                      <w:rFonts w:ascii="Tahoma" w:hAnsi="Tahoma" w:cs="Tahoma"/>
                      <w:sz w:val="20"/>
                      <w:szCs w:val="20"/>
                    </w:rPr>
                    <w:t>Homrighausen</w:t>
                  </w:r>
                  <w:proofErr w:type="spellEnd"/>
                </w:p>
              </w:tc>
              <w:tc>
                <w:tcPr>
                  <w:tcW w:w="2124" w:type="dxa"/>
                </w:tcPr>
                <w:p w:rsidR="00076570" w:rsidRDefault="00076570" w:rsidP="00F721AB">
                  <w:pPr>
                    <w:spacing w:before="20" w:after="20" w:line="360" w:lineRule="auto"/>
                    <w:rPr>
                      <w:rFonts w:ascii="Tahoma" w:hAnsi="Tahoma" w:cs="Tahoma"/>
                      <w:noProof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 xml:space="preserve">geändert: </w:t>
                  </w:r>
                  <w:r w:rsidR="006247B8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06</w:t>
                  </w:r>
                  <w:r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/202</w:t>
                  </w:r>
                  <w:r w:rsidR="00C86781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CD5362" w:rsidRPr="00F14095" w:rsidRDefault="00CD5362" w:rsidP="00F721AB">
            <w:pPr>
              <w:spacing w:before="20" w:after="2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4A2627" w:rsidTr="0040739D"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D3979" w:rsidRDefault="002D3979" w:rsidP="002D3979">
            <w:pPr>
              <w:spacing w:before="60" w:after="60"/>
              <w:rPr>
                <w:rFonts w:ascii="Tahoma" w:hAnsi="Tahoma" w:cs="Tahoma"/>
                <w:b/>
              </w:rPr>
            </w:pPr>
          </w:p>
          <w:p w:rsidR="004472C3" w:rsidRDefault="004A2627" w:rsidP="002D3979">
            <w:pPr>
              <w:spacing w:before="60" w:after="60"/>
              <w:rPr>
                <w:rFonts w:ascii="Tahoma" w:hAnsi="Tahoma" w:cs="Tahoma"/>
                <w:b/>
              </w:rPr>
            </w:pPr>
            <w:r w:rsidRPr="00F14095">
              <w:rPr>
                <w:rFonts w:ascii="Tahoma" w:hAnsi="Tahoma" w:cs="Tahoma"/>
                <w:b/>
              </w:rPr>
              <w:t xml:space="preserve">Curriculare Vorgaben: </w:t>
            </w:r>
          </w:p>
          <w:p w:rsidR="006E13E8" w:rsidRDefault="006E13E8" w:rsidP="007520C7">
            <w:pPr>
              <w:jc w:val="center"/>
              <w:rPr>
                <w:b/>
                <w:sz w:val="20"/>
                <w:szCs w:val="20"/>
              </w:rPr>
            </w:pPr>
          </w:p>
          <w:p w:rsidR="007520C7" w:rsidRPr="00D762C6" w:rsidRDefault="006157ED" w:rsidP="007520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RLP-Bau-Hochbau</w:t>
            </w:r>
          </w:p>
          <w:p w:rsidR="009830B7" w:rsidRPr="004472C3" w:rsidRDefault="009830B7" w:rsidP="002D3979">
            <w:pPr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11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6665" w:rsidRPr="006157ED" w:rsidRDefault="002663A0" w:rsidP="00F9780C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sz w:val="18"/>
                <w:szCs w:val="18"/>
              </w:rPr>
            </w:pPr>
            <w:r>
              <w:rPr>
                <w:rFonts w:ascii="Arial,Bold" w:hAnsi="Arial,Bold" w:cs="Arial,Bold"/>
                <w:b/>
                <w:bCs/>
                <w:sz w:val="16"/>
                <w:szCs w:val="16"/>
              </w:rPr>
              <w:br/>
            </w:r>
            <w:r>
              <w:rPr>
                <w:rFonts w:ascii="Arial,Bold" w:hAnsi="Arial,Bold" w:cs="Arial,Bold"/>
                <w:b/>
                <w:bCs/>
                <w:sz w:val="16"/>
                <w:szCs w:val="16"/>
              </w:rPr>
              <w:br/>
            </w:r>
            <w:r w:rsidR="00D66665" w:rsidRPr="006157ED">
              <w:rPr>
                <w:rFonts w:ascii="Arial,Bold" w:hAnsi="Arial,Bold" w:cs="Arial,Bold"/>
                <w:b/>
                <w:bCs/>
                <w:sz w:val="18"/>
                <w:szCs w:val="18"/>
              </w:rPr>
              <w:t>Die Schülerinnen und Schüler verfügen über die Kompetenz, einschalige Wände aus</w:t>
            </w:r>
          </w:p>
          <w:p w:rsidR="00D66665" w:rsidRPr="006157ED" w:rsidRDefault="00D66665" w:rsidP="00F9780C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sz w:val="18"/>
                <w:szCs w:val="18"/>
              </w:rPr>
            </w:pPr>
            <w:r w:rsidRPr="006157ED">
              <w:rPr>
                <w:rFonts w:ascii="Arial,Bold" w:hAnsi="Arial,Bold" w:cs="Arial,Bold"/>
                <w:b/>
                <w:bCs/>
                <w:sz w:val="18"/>
                <w:szCs w:val="18"/>
              </w:rPr>
              <w:t>großformatigen künstlichen Steinen nach anerkannten Mauerregeln vorgabegemäß</w:t>
            </w:r>
          </w:p>
          <w:p w:rsidR="00D66665" w:rsidRPr="006157ED" w:rsidRDefault="00D66665" w:rsidP="00F9780C">
            <w:pPr>
              <w:autoSpaceDE w:val="0"/>
              <w:autoSpaceDN w:val="0"/>
              <w:adjustRightInd w:val="0"/>
              <w:jc w:val="both"/>
              <w:rPr>
                <w:rFonts w:ascii="Arial,Bold" w:hAnsi="Arial,Bold" w:cs="Arial,Bold"/>
                <w:b/>
                <w:bCs/>
                <w:sz w:val="18"/>
                <w:szCs w:val="18"/>
              </w:rPr>
            </w:pPr>
            <w:r w:rsidRPr="006157ED">
              <w:rPr>
                <w:rFonts w:ascii="Arial,Bold" w:hAnsi="Arial,Bold" w:cs="Arial,Bold"/>
                <w:b/>
                <w:bCs/>
                <w:sz w:val="18"/>
                <w:szCs w:val="18"/>
              </w:rPr>
              <w:t>herzustellen.</w:t>
            </w:r>
          </w:p>
          <w:p w:rsidR="00D66665" w:rsidRPr="006157ED" w:rsidRDefault="00D66665" w:rsidP="00F9780C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6157ED">
              <w:rPr>
                <w:rFonts w:cs="Arial"/>
                <w:sz w:val="18"/>
                <w:szCs w:val="18"/>
              </w:rPr>
              <w:t xml:space="preserve">Die Schülerinnen und Schüler </w:t>
            </w:r>
            <w:r w:rsidRPr="006157ED">
              <w:rPr>
                <w:rFonts w:ascii="Arial,Bold" w:hAnsi="Arial,Bold" w:cs="Arial,Bold"/>
                <w:b/>
                <w:bCs/>
                <w:sz w:val="18"/>
                <w:szCs w:val="18"/>
              </w:rPr>
              <w:t xml:space="preserve">analysieren </w:t>
            </w:r>
            <w:r w:rsidRPr="006157ED">
              <w:rPr>
                <w:rFonts w:cs="Arial"/>
                <w:sz w:val="18"/>
                <w:szCs w:val="18"/>
              </w:rPr>
              <w:t>den Auftrag hinsichtlich der geforderten Eigenschaften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cs="Arial"/>
                <w:sz w:val="18"/>
                <w:szCs w:val="18"/>
              </w:rPr>
              <w:t xml:space="preserve">und Anforderungen an einschalige Wände und Ausfachungen unter </w:t>
            </w:r>
            <w:proofErr w:type="spellStart"/>
            <w:r w:rsidRPr="006157ED">
              <w:rPr>
                <w:rFonts w:cs="Arial"/>
                <w:sz w:val="18"/>
                <w:szCs w:val="18"/>
              </w:rPr>
              <w:t>Berücksichtigungder</w:t>
            </w:r>
            <w:proofErr w:type="spellEnd"/>
            <w:r w:rsidRPr="006157ED">
              <w:rPr>
                <w:rFonts w:cs="Arial"/>
                <w:sz w:val="18"/>
                <w:szCs w:val="18"/>
              </w:rPr>
              <w:t xml:space="preserve"> baulichen Situation.</w:t>
            </w:r>
          </w:p>
          <w:p w:rsidR="00D66665" w:rsidRPr="006157ED" w:rsidRDefault="00D66665" w:rsidP="00F9780C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6157ED">
              <w:rPr>
                <w:rFonts w:cs="Arial"/>
                <w:sz w:val="18"/>
                <w:szCs w:val="18"/>
              </w:rPr>
              <w:t xml:space="preserve">Die Schülerinnen und Schüler </w:t>
            </w:r>
            <w:r w:rsidRPr="006157ED">
              <w:rPr>
                <w:rFonts w:ascii="Arial,Bold" w:hAnsi="Arial,Bold" w:cs="Arial,Bold"/>
                <w:b/>
                <w:bCs/>
                <w:sz w:val="18"/>
                <w:szCs w:val="18"/>
              </w:rPr>
              <w:t xml:space="preserve">informieren </w:t>
            </w:r>
            <w:r w:rsidRPr="006157ED">
              <w:rPr>
                <w:rFonts w:cs="Arial"/>
                <w:sz w:val="18"/>
                <w:szCs w:val="18"/>
              </w:rPr>
              <w:t>sich über Mauersteine verschiedener Formate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cs="Arial"/>
                <w:sz w:val="18"/>
                <w:szCs w:val="18"/>
              </w:rPr>
              <w:t xml:space="preserve">für einschalige Wände </w:t>
            </w:r>
            <w:r w:rsidRPr="006157ED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 xml:space="preserve">(Planelemente, Wandbauplatten, Wandelemente) </w:t>
            </w:r>
            <w:r w:rsidRPr="006157ED">
              <w:rPr>
                <w:rFonts w:cs="Arial"/>
                <w:sz w:val="18"/>
                <w:szCs w:val="18"/>
              </w:rPr>
              <w:t>und Ausfachungen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cs="Arial"/>
                <w:sz w:val="18"/>
                <w:szCs w:val="18"/>
              </w:rPr>
              <w:t>sowie deren Bearbeitung und Verarbeitung, auch mit Hilfe digitaler Medien. Sie verschaffen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cs="Arial"/>
                <w:sz w:val="18"/>
                <w:szCs w:val="18"/>
              </w:rPr>
              <w:t>sich einen Überblick über die verschiedenen Mauermörtelarten (</w:t>
            </w:r>
            <w:r w:rsidRPr="006157ED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>Normalmauermörtel, Leichtmauermörtel,</w:t>
            </w:r>
            <w:r w:rsidR="00F9780C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 xml:space="preserve"> </w:t>
            </w:r>
            <w:r w:rsidRPr="006157ED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>Dünnbettmörtel</w:t>
            </w:r>
            <w:r w:rsidRPr="006157ED">
              <w:rPr>
                <w:rFonts w:cs="Arial"/>
                <w:sz w:val="18"/>
                <w:szCs w:val="18"/>
              </w:rPr>
              <w:t>) sowie Mörtelklassen und deren Verarbeitung.</w:t>
            </w:r>
          </w:p>
          <w:p w:rsidR="00D66665" w:rsidRPr="006157ED" w:rsidRDefault="00D66665" w:rsidP="00F9780C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6157ED">
              <w:rPr>
                <w:rFonts w:cs="Arial"/>
                <w:sz w:val="18"/>
                <w:szCs w:val="18"/>
              </w:rPr>
              <w:t xml:space="preserve">Die Schülerinnen und Schüler </w:t>
            </w:r>
            <w:r w:rsidRPr="006157ED">
              <w:rPr>
                <w:rFonts w:ascii="Arial,Bold" w:hAnsi="Arial,Bold" w:cs="Arial,Bold"/>
                <w:b/>
                <w:bCs/>
                <w:sz w:val="18"/>
                <w:szCs w:val="18"/>
              </w:rPr>
              <w:t xml:space="preserve">planen </w:t>
            </w:r>
            <w:r w:rsidRPr="006157ED">
              <w:rPr>
                <w:rFonts w:cs="Arial"/>
                <w:sz w:val="18"/>
                <w:szCs w:val="18"/>
              </w:rPr>
              <w:t>die Herstellung der einschaligen gemauerten Wand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cs="Arial"/>
                <w:sz w:val="18"/>
                <w:szCs w:val="18"/>
              </w:rPr>
              <w:t>auch mit Hilfe von Versetzgeräten unter Beachtung des jeweiligen Überbindemaßes. Dabei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cs="Arial"/>
                <w:sz w:val="18"/>
                <w:szCs w:val="18"/>
              </w:rPr>
              <w:t>berücksichtigen sie wirtschaftliche, umweltverträgliche, nachhaltige und ergonomische Aspekte.</w:t>
            </w:r>
          </w:p>
          <w:p w:rsidR="00D66665" w:rsidRPr="006157ED" w:rsidRDefault="00D66665" w:rsidP="00F9780C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6157ED">
              <w:rPr>
                <w:rFonts w:cs="Arial"/>
                <w:sz w:val="18"/>
                <w:szCs w:val="18"/>
              </w:rPr>
              <w:t xml:space="preserve">Nach der </w:t>
            </w:r>
            <w:r w:rsidRPr="006157ED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 xml:space="preserve">Maßordnung im Hochbau </w:t>
            </w:r>
            <w:r w:rsidRPr="006157ED">
              <w:rPr>
                <w:rFonts w:cs="Arial"/>
                <w:sz w:val="18"/>
                <w:szCs w:val="18"/>
              </w:rPr>
              <w:t>legen sie die Maße der Wand, sowie Aussparungen,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cs="Arial"/>
                <w:sz w:val="18"/>
                <w:szCs w:val="18"/>
              </w:rPr>
              <w:t>Schlitze und Vorlagen unter Berücksichtigung der Standsicherheit fest. Sie berechnen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cs="Arial"/>
                <w:sz w:val="18"/>
                <w:szCs w:val="18"/>
              </w:rPr>
              <w:t>die Baustoffmengen und wählen für die Bausituation mögliche Fertigteile sowie die entsprechenden</w:t>
            </w:r>
          </w:p>
          <w:p w:rsidR="00D66665" w:rsidRPr="006157ED" w:rsidRDefault="00D66665" w:rsidP="00F9780C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6157ED">
              <w:rPr>
                <w:rFonts w:cs="Arial"/>
                <w:sz w:val="18"/>
                <w:szCs w:val="18"/>
              </w:rPr>
              <w:t>Lastaufnahme und Anschlagmittel aus. Im Planungskonzept erstellen sie, auch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cs="Arial"/>
                <w:sz w:val="18"/>
                <w:szCs w:val="18"/>
              </w:rPr>
              <w:t>computergestützt, Ausführungs- und Detailzeichnungen und berücksichtigen bauphysikalische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cs="Arial"/>
                <w:sz w:val="18"/>
                <w:szCs w:val="18"/>
              </w:rPr>
              <w:t>Aspekte (</w:t>
            </w:r>
            <w:r w:rsidRPr="006157ED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>Feuchtigkeitsschutz, Luftschall- und Wärmedämmung</w:t>
            </w:r>
            <w:r w:rsidRPr="006157ED">
              <w:rPr>
                <w:rFonts w:cs="Arial"/>
                <w:sz w:val="18"/>
                <w:szCs w:val="18"/>
              </w:rPr>
              <w:t>).</w:t>
            </w:r>
          </w:p>
          <w:p w:rsidR="00D66665" w:rsidRPr="006157ED" w:rsidRDefault="00D66665" w:rsidP="00F9780C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6157ED">
              <w:rPr>
                <w:rFonts w:cs="Arial"/>
                <w:sz w:val="18"/>
                <w:szCs w:val="18"/>
              </w:rPr>
              <w:t xml:space="preserve">Die Schülerinnen und Schüler messen die einschaligen Wände ein und </w:t>
            </w:r>
            <w:r w:rsidRPr="006157ED">
              <w:rPr>
                <w:rFonts w:ascii="Arial,Bold" w:hAnsi="Arial,Bold" w:cs="Arial,Bold"/>
                <w:b/>
                <w:bCs/>
                <w:sz w:val="18"/>
                <w:szCs w:val="18"/>
              </w:rPr>
              <w:t xml:space="preserve">erstellen </w:t>
            </w:r>
            <w:r w:rsidRPr="006157ED">
              <w:rPr>
                <w:rFonts w:cs="Arial"/>
                <w:sz w:val="18"/>
                <w:szCs w:val="18"/>
              </w:rPr>
              <w:t>diese unter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cs="Arial"/>
                <w:sz w:val="18"/>
                <w:szCs w:val="18"/>
              </w:rPr>
              <w:t xml:space="preserve">Beachtung der Verbandsregeln auch mit Hilfe von Versetzgeräten sowie </w:t>
            </w:r>
            <w:r w:rsidRPr="006157ED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>Arbeits- und Schutzgerüste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 xml:space="preserve">und Leitern </w:t>
            </w:r>
            <w:r w:rsidRPr="006157ED">
              <w:rPr>
                <w:rFonts w:cs="Arial"/>
                <w:sz w:val="18"/>
                <w:szCs w:val="18"/>
              </w:rPr>
              <w:t>nach den Regeln des Arbeitsschutzes. Dabei berücksichtigen sie vorgesehene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cs="Arial"/>
                <w:sz w:val="18"/>
                <w:szCs w:val="18"/>
              </w:rPr>
              <w:t>Öffnungen, Aussparungen und Vorlagen. Sie dichten die Wände gegen Feuchtigkeit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cs="Arial"/>
                <w:sz w:val="18"/>
                <w:szCs w:val="18"/>
              </w:rPr>
              <w:t>(</w:t>
            </w:r>
            <w:r w:rsidRPr="006157ED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>Horizontalsperre, Sockelabdichtung</w:t>
            </w:r>
            <w:r w:rsidRPr="006157ED">
              <w:rPr>
                <w:rFonts w:cs="Arial"/>
                <w:sz w:val="18"/>
                <w:szCs w:val="18"/>
              </w:rPr>
              <w:t>) ab.</w:t>
            </w:r>
          </w:p>
          <w:p w:rsidR="00D66665" w:rsidRPr="006157ED" w:rsidRDefault="00D66665" w:rsidP="00F9780C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6157ED">
              <w:rPr>
                <w:rFonts w:cs="Arial"/>
                <w:sz w:val="18"/>
                <w:szCs w:val="18"/>
              </w:rPr>
              <w:t xml:space="preserve">Die Schülerinnen und Schüler </w:t>
            </w:r>
            <w:r w:rsidRPr="006157ED">
              <w:rPr>
                <w:rFonts w:ascii="Arial,Bold" w:hAnsi="Arial,Bold" w:cs="Arial,Bold"/>
                <w:b/>
                <w:bCs/>
                <w:sz w:val="18"/>
                <w:szCs w:val="18"/>
              </w:rPr>
              <w:t xml:space="preserve">prüfen </w:t>
            </w:r>
            <w:r w:rsidRPr="006157ED">
              <w:rPr>
                <w:rFonts w:cs="Arial"/>
                <w:sz w:val="18"/>
                <w:szCs w:val="18"/>
              </w:rPr>
              <w:t xml:space="preserve">die </w:t>
            </w:r>
            <w:r w:rsidRPr="006157ED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>Waagerechte</w:t>
            </w:r>
            <w:r w:rsidRPr="006157ED">
              <w:rPr>
                <w:rFonts w:cs="Arial"/>
                <w:sz w:val="18"/>
                <w:szCs w:val="18"/>
              </w:rPr>
              <w:t xml:space="preserve">, das </w:t>
            </w:r>
            <w:r w:rsidRPr="006157ED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 xml:space="preserve">Lot, </w:t>
            </w:r>
            <w:r w:rsidRPr="006157ED">
              <w:rPr>
                <w:rFonts w:cs="Arial"/>
                <w:sz w:val="18"/>
                <w:szCs w:val="18"/>
              </w:rPr>
              <w:t xml:space="preserve">die </w:t>
            </w:r>
            <w:r w:rsidRPr="006157ED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>Verbandslösung</w:t>
            </w:r>
            <w:r w:rsidRPr="006157ED">
              <w:rPr>
                <w:rFonts w:cs="Arial"/>
                <w:sz w:val="18"/>
                <w:szCs w:val="18"/>
              </w:rPr>
              <w:t>, das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 xml:space="preserve">Überbindemaß </w:t>
            </w:r>
            <w:r w:rsidRPr="006157ED">
              <w:rPr>
                <w:rFonts w:cs="Arial"/>
                <w:sz w:val="18"/>
                <w:szCs w:val="18"/>
              </w:rPr>
              <w:t xml:space="preserve">und die </w:t>
            </w:r>
            <w:r w:rsidRPr="006157ED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 xml:space="preserve">Herstellungsmaße </w:t>
            </w:r>
            <w:r w:rsidRPr="006157ED">
              <w:rPr>
                <w:rFonts w:cs="Arial"/>
                <w:sz w:val="18"/>
                <w:szCs w:val="18"/>
              </w:rPr>
              <w:t>und vergleichen die Istwerte der Ausführung mit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cs="Arial"/>
                <w:sz w:val="18"/>
                <w:szCs w:val="18"/>
              </w:rPr>
              <w:t>Sollwerten in der Technischen Zeichnung.</w:t>
            </w:r>
          </w:p>
          <w:p w:rsidR="007520C7" w:rsidRDefault="00D66665" w:rsidP="00F9780C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6157ED">
              <w:rPr>
                <w:rFonts w:cs="Arial"/>
                <w:sz w:val="18"/>
                <w:szCs w:val="18"/>
              </w:rPr>
              <w:t>Die Schülerinnen und Schüler erarbeiten Kriterien zur Beu</w:t>
            </w:r>
            <w:r w:rsidR="00F9780C">
              <w:rPr>
                <w:rFonts w:cs="Arial"/>
                <w:sz w:val="18"/>
                <w:szCs w:val="18"/>
              </w:rPr>
              <w:t xml:space="preserve">rteilung der Arbeitsergebnisse. </w:t>
            </w:r>
            <w:r w:rsidRPr="006157ED">
              <w:rPr>
                <w:rFonts w:cs="Arial"/>
                <w:sz w:val="18"/>
                <w:szCs w:val="18"/>
              </w:rPr>
              <w:t>Mit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cs="Arial"/>
                <w:sz w:val="18"/>
                <w:szCs w:val="18"/>
              </w:rPr>
              <w:t xml:space="preserve">Hilfe der Kriterien </w:t>
            </w:r>
            <w:r w:rsidRPr="006157ED">
              <w:rPr>
                <w:rFonts w:ascii="Arial,Bold" w:hAnsi="Arial,Bold" w:cs="Arial,Bold"/>
                <w:b/>
                <w:bCs/>
                <w:sz w:val="18"/>
                <w:szCs w:val="18"/>
              </w:rPr>
              <w:t xml:space="preserve">reflektieren </w:t>
            </w:r>
            <w:r w:rsidRPr="006157ED">
              <w:rPr>
                <w:rFonts w:cs="Arial"/>
                <w:sz w:val="18"/>
                <w:szCs w:val="18"/>
              </w:rPr>
              <w:t>sie den Herstellungsprozess und beurteilen ihn. Sie diskutieren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cs="Arial"/>
                <w:sz w:val="18"/>
                <w:szCs w:val="18"/>
              </w:rPr>
              <w:t>über qualitative Verbesserungen, die Bedeutung automatischer Versetztechniken und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cs="Arial"/>
                <w:sz w:val="18"/>
                <w:szCs w:val="18"/>
              </w:rPr>
              <w:t>die Entwicklung des Mauerwerksbaus. Bei ihrer Argumentation berücksichtigen sie auch den</w:t>
            </w:r>
            <w:r w:rsidR="00F9780C">
              <w:rPr>
                <w:rFonts w:cs="Arial"/>
                <w:sz w:val="18"/>
                <w:szCs w:val="18"/>
              </w:rPr>
              <w:t xml:space="preserve"> </w:t>
            </w:r>
            <w:r w:rsidRPr="006157ED">
              <w:rPr>
                <w:rFonts w:cs="Arial"/>
                <w:sz w:val="18"/>
                <w:szCs w:val="18"/>
              </w:rPr>
              <w:t>Rückbau und das Recycling des Mauerwerks.</w:t>
            </w:r>
          </w:p>
          <w:p w:rsidR="00F9780C" w:rsidRDefault="00F9780C" w:rsidP="00F9780C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F9780C" w:rsidRDefault="00F9780C" w:rsidP="00F9780C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F9780C" w:rsidRDefault="00F9780C" w:rsidP="00F9780C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F9780C" w:rsidRDefault="00F9780C" w:rsidP="00F9780C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F9780C" w:rsidRDefault="00F9780C" w:rsidP="00F9780C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F9780C" w:rsidRDefault="00F9780C" w:rsidP="00F9780C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F9780C" w:rsidRPr="00F9780C" w:rsidRDefault="00F9780C" w:rsidP="00F9780C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76570" w:rsidTr="0040739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6570" w:rsidRPr="00AB0EAC" w:rsidRDefault="00076570" w:rsidP="00076570">
            <w:pPr>
              <w:spacing w:before="120" w:after="120"/>
              <w:rPr>
                <w:sz w:val="28"/>
                <w:szCs w:val="28"/>
              </w:rPr>
            </w:pPr>
            <w:r w:rsidRPr="00AB0EAC">
              <w:rPr>
                <w:b/>
                <w:sz w:val="28"/>
                <w:szCs w:val="28"/>
              </w:rPr>
              <w:lastRenderedPageBreak/>
              <w:t xml:space="preserve">Titel der Lernsituation:  </w:t>
            </w:r>
          </w:p>
          <w:p w:rsidR="00076570" w:rsidRPr="00076570" w:rsidRDefault="00FA16D3" w:rsidP="00076570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i/>
              </w:rPr>
              <w:t>„Grundlagen des Mauerwerkbaus“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5"/>
              <w:gridCol w:w="2846"/>
            </w:tblGrid>
            <w:tr w:rsidR="005C1200" w:rsidTr="0040739D">
              <w:tc>
                <w:tcPr>
                  <w:tcW w:w="2845" w:type="dxa"/>
                  <w:shd w:val="clear" w:color="auto" w:fill="F2F2F2" w:themeFill="background1" w:themeFillShade="F2"/>
                </w:tcPr>
                <w:p w:rsidR="005C1200" w:rsidRDefault="005C1200" w:rsidP="009D7B9F">
                  <w:pPr>
                    <w:spacing w:before="120" w:after="120"/>
                    <w:jc w:val="center"/>
                  </w:pPr>
                  <w:r>
                    <w:rPr>
                      <w:b/>
                      <w:sz w:val="20"/>
                    </w:rPr>
                    <w:t>Geplanter Zeitrichtwert:</w:t>
                  </w:r>
                </w:p>
                <w:p w:rsidR="005C1200" w:rsidRPr="002575F3" w:rsidRDefault="00791410" w:rsidP="009D7B9F">
                  <w:pPr>
                    <w:spacing w:before="120" w:after="120"/>
                    <w:jc w:val="center"/>
                    <w:rPr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>10</w:t>
                  </w:r>
                  <w:r w:rsidR="005C1200" w:rsidRPr="002575F3">
                    <w:rPr>
                      <w:i/>
                      <w:sz w:val="20"/>
                    </w:rPr>
                    <w:t xml:space="preserve"> </w:t>
                  </w:r>
                  <w:r w:rsidR="00F33A83">
                    <w:rPr>
                      <w:i/>
                      <w:sz w:val="20"/>
                    </w:rPr>
                    <w:t>Unterrichts</w:t>
                  </w:r>
                  <w:r w:rsidR="005C1200" w:rsidRPr="002575F3">
                    <w:rPr>
                      <w:i/>
                      <w:sz w:val="20"/>
                    </w:rPr>
                    <w:t>stunden</w:t>
                  </w:r>
                  <w:r w:rsidR="004C616A" w:rsidRPr="002575F3">
                    <w:rPr>
                      <w:i/>
                      <w:sz w:val="20"/>
                    </w:rPr>
                    <w:t xml:space="preserve"> </w:t>
                  </w:r>
                </w:p>
              </w:tc>
              <w:tc>
                <w:tcPr>
                  <w:tcW w:w="2846" w:type="dxa"/>
                </w:tcPr>
                <w:p w:rsidR="005C1200" w:rsidRPr="008749FF" w:rsidRDefault="005C1200" w:rsidP="008749FF">
                  <w:pPr>
                    <w:spacing w:beforeLines="60" w:before="144" w:after="60"/>
                    <w:rPr>
                      <w:i/>
                      <w:color w:val="0563C1" w:themeColor="hyperlink"/>
                      <w:sz w:val="20"/>
                      <w:u w:val="single"/>
                    </w:rPr>
                  </w:pPr>
                </w:p>
              </w:tc>
            </w:tr>
          </w:tbl>
          <w:p w:rsidR="00076570" w:rsidRPr="009830B7" w:rsidRDefault="00076570" w:rsidP="009D7B9F">
            <w:pPr>
              <w:spacing w:before="120" w:after="120"/>
              <w:jc w:val="center"/>
              <w:rPr>
                <w:i/>
              </w:rPr>
            </w:pPr>
          </w:p>
        </w:tc>
      </w:tr>
      <w:tr w:rsidR="002D3979" w:rsidTr="001E3BA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gridSpan w:val="5"/>
            <w:tcBorders>
              <w:top w:val="single" w:sz="4" w:space="0" w:color="auto"/>
            </w:tcBorders>
          </w:tcPr>
          <w:p w:rsidR="001E3BAA" w:rsidRDefault="002D3979" w:rsidP="001E3BAA">
            <w:pPr>
              <w:spacing w:beforeLines="60" w:before="144" w:afterLines="60" w:after="144"/>
              <w:ind w:left="1"/>
              <w:rPr>
                <w:rFonts w:ascii="Calibri" w:hAnsi="Calibri" w:cs="Calibri"/>
              </w:rPr>
            </w:pPr>
            <w:r w:rsidRPr="00E14866">
              <w:rPr>
                <w:rFonts w:ascii="Calibri" w:hAnsi="Calibri" w:cs="Calibri"/>
                <w:b/>
              </w:rPr>
              <w:t>Handlungssituation</w:t>
            </w:r>
            <w:r w:rsidRPr="00E14866">
              <w:rPr>
                <w:rFonts w:ascii="Calibri" w:hAnsi="Calibri" w:cs="Calibri"/>
              </w:rPr>
              <w:t xml:space="preserve">:  </w:t>
            </w:r>
            <w:r w:rsidR="00791410">
              <w:rPr>
                <w:rFonts w:ascii="Calibri" w:hAnsi="Calibri" w:cs="Calibri"/>
              </w:rPr>
              <w:br/>
              <w:t>Herr Krebs möchte in Northeim eine Doppelgar</w:t>
            </w:r>
            <w:r w:rsidR="006157ED">
              <w:rPr>
                <w:rFonts w:ascii="Calibri" w:hAnsi="Calibri" w:cs="Calibri"/>
              </w:rPr>
              <w:t>age errichten lassen. Sie sollen</w:t>
            </w:r>
            <w:r w:rsidR="00791410">
              <w:rPr>
                <w:rFonts w:ascii="Calibri" w:hAnsi="Calibri" w:cs="Calibri"/>
              </w:rPr>
              <w:t xml:space="preserve"> die Ausführung dazu planen, die Materialien berechnen, entsprechende Baupläne erstellen, Materialien vergleichen, passende Mauersteinformate (Großformate) auswählen, geeignete Verbände entwickeln und die Ergebnisse vorstellen</w:t>
            </w:r>
            <w:r w:rsidR="00E9647F">
              <w:rPr>
                <w:rFonts w:ascii="Calibri" w:hAnsi="Calibri" w:cs="Calibri"/>
              </w:rPr>
              <w:t xml:space="preserve"> und vergleichen</w:t>
            </w:r>
            <w:r w:rsidR="00791410">
              <w:rPr>
                <w:rFonts w:ascii="Calibri" w:hAnsi="Calibri" w:cs="Calibri"/>
              </w:rPr>
              <w:t>.</w:t>
            </w:r>
          </w:p>
          <w:p w:rsidR="00B22A64" w:rsidRPr="00E14866" w:rsidRDefault="00B22A64" w:rsidP="001E3BAA">
            <w:pPr>
              <w:spacing w:beforeLines="60" w:before="144" w:afterLines="60" w:after="144"/>
              <w:rPr>
                <w:rFonts w:ascii="Calibri" w:hAnsi="Calibri" w:cs="Calibri"/>
                <w:sz w:val="22"/>
                <w:szCs w:val="22"/>
              </w:rPr>
            </w:pPr>
            <w:r w:rsidRPr="00E14866">
              <w:rPr>
                <w:rFonts w:ascii="Calibri" w:hAnsi="Calibri" w:cs="Calibri"/>
                <w:b/>
              </w:rPr>
              <w:t>Handlungsergebnis:</w:t>
            </w:r>
            <w:r w:rsidR="00AB0EAC">
              <w:rPr>
                <w:rFonts w:ascii="Calibri" w:hAnsi="Calibri" w:cs="Calibri"/>
                <w:b/>
              </w:rPr>
              <w:br/>
            </w:r>
            <w:r w:rsidR="00E9647F">
              <w:rPr>
                <w:rFonts w:ascii="Calibri" w:hAnsi="Calibri" w:cs="Calibri"/>
                <w:sz w:val="22"/>
                <w:szCs w:val="22"/>
              </w:rPr>
              <w:t xml:space="preserve">Verbandslösungen (Bauklotzwände </w:t>
            </w:r>
            <w:proofErr w:type="spellStart"/>
            <w:r w:rsidR="00E9647F">
              <w:rPr>
                <w:rFonts w:ascii="Calibri" w:hAnsi="Calibri" w:cs="Calibri"/>
                <w:sz w:val="22"/>
                <w:szCs w:val="22"/>
              </w:rPr>
              <w:t>ertsellen</w:t>
            </w:r>
            <w:proofErr w:type="spellEnd"/>
            <w:r w:rsidR="00E9647F">
              <w:rPr>
                <w:rFonts w:ascii="Calibri" w:hAnsi="Calibri" w:cs="Calibri"/>
                <w:sz w:val="22"/>
                <w:szCs w:val="22"/>
              </w:rPr>
              <w:t>), Baupläne zeichnen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</w:tcBorders>
          </w:tcPr>
          <w:p w:rsidR="00B447E6" w:rsidRPr="00215E7A" w:rsidRDefault="001E3BAA" w:rsidP="00E9647F">
            <w:pPr>
              <w:pStyle w:val="Listenabsatz"/>
              <w:spacing w:beforeLines="60" w:before="144" w:afterLines="60" w:after="144"/>
              <w:ind w:left="721"/>
              <w:rPr>
                <w:rFonts w:ascii="Calibri" w:hAnsi="Calibri" w:cs="Calibri"/>
                <w:sz w:val="16"/>
                <w:szCs w:val="16"/>
              </w:rPr>
            </w:pPr>
            <w:r w:rsidRPr="001E3BAA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215E7A" w:rsidRDefault="00215E7A" w:rsidP="00215E7A">
            <w:pPr>
              <w:spacing w:beforeLines="60" w:before="144" w:afterLines="60" w:after="144"/>
              <w:rPr>
                <w:rFonts w:ascii="Calibri" w:hAnsi="Calibri" w:cs="Calibri"/>
                <w:sz w:val="16"/>
                <w:szCs w:val="16"/>
              </w:rPr>
            </w:pPr>
          </w:p>
          <w:p w:rsidR="00215E7A" w:rsidRPr="00C267A0" w:rsidRDefault="00C267A0" w:rsidP="00215E7A">
            <w:pPr>
              <w:spacing w:beforeLines="60" w:before="144" w:afterLines="60" w:after="14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Methode</w:t>
            </w:r>
            <w:r w:rsidRPr="00B22A64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E9647F">
              <w:rPr>
                <w:rFonts w:ascii="Calibri" w:hAnsi="Calibri" w:cs="Calibri"/>
                <w:b/>
              </w:rPr>
              <w:br/>
              <w:t>Verbandslösungen mit formatgerechten Bauklötzen auslegen</w:t>
            </w:r>
          </w:p>
        </w:tc>
      </w:tr>
      <w:tr w:rsidR="00AE7F46" w:rsidTr="00AE7F4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366" w:type="dxa"/>
            <w:gridSpan w:val="2"/>
          </w:tcPr>
          <w:p w:rsidR="00AF6A8E" w:rsidRPr="00AF6A8E" w:rsidRDefault="00AE7F46" w:rsidP="00E9647F">
            <w:pPr>
              <w:spacing w:after="239"/>
              <w:ind w:left="1"/>
              <w:rPr>
                <w:rFonts w:ascii="Calibri" w:hAnsi="Calibri" w:cs="Calibri"/>
                <w:b/>
                <w:sz w:val="22"/>
                <w:szCs w:val="22"/>
              </w:rPr>
            </w:pPr>
            <w:bookmarkStart w:id="1" w:name="_Hlk191203001"/>
            <w:r w:rsidRPr="00AE7F46">
              <w:rPr>
                <w:rFonts w:ascii="Calibri" w:hAnsi="Calibri" w:cs="Calibri"/>
                <w:b/>
                <w:sz w:val="22"/>
                <w:szCs w:val="22"/>
              </w:rPr>
              <w:t xml:space="preserve">Schulische Entscheidungen: </w:t>
            </w:r>
          </w:p>
        </w:tc>
        <w:tc>
          <w:tcPr>
            <w:tcW w:w="6910" w:type="dxa"/>
            <w:gridSpan w:val="6"/>
          </w:tcPr>
          <w:p w:rsidR="008749FF" w:rsidRDefault="00AE7F46" w:rsidP="00AF6A8E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6A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Verknüpfungen: </w:t>
            </w:r>
          </w:p>
          <w:p w:rsidR="00AF6A8E" w:rsidRPr="00B447E6" w:rsidRDefault="00AE7F46" w:rsidP="00AF6A8E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6A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bookmarkEnd w:id="1"/>
    </w:tbl>
    <w:p w:rsidR="0035383D" w:rsidRDefault="0035383D" w:rsidP="007F6A8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9"/>
        <w:gridCol w:w="3371"/>
        <w:gridCol w:w="3444"/>
        <w:gridCol w:w="4052"/>
      </w:tblGrid>
      <w:tr w:rsidR="00185E04" w:rsidTr="00217C39">
        <w:tc>
          <w:tcPr>
            <w:tcW w:w="6780" w:type="dxa"/>
            <w:gridSpan w:val="2"/>
            <w:shd w:val="clear" w:color="auto" w:fill="D9D9D9" w:themeFill="background1" w:themeFillShade="D9"/>
          </w:tcPr>
          <w:p w:rsidR="00946B19" w:rsidRPr="008A4F19" w:rsidRDefault="00946B19" w:rsidP="00344D45">
            <w:pPr>
              <w:spacing w:beforeLines="20" w:before="48" w:afterLines="20" w:after="48"/>
              <w:rPr>
                <w:rFonts w:ascii="Calibri" w:hAnsi="Calibri" w:cs="Calibri"/>
                <w:b/>
                <w:sz w:val="22"/>
                <w:szCs w:val="22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>Handlungskompetenz</w:t>
            </w:r>
          </w:p>
        </w:tc>
        <w:tc>
          <w:tcPr>
            <w:tcW w:w="3444" w:type="dxa"/>
            <w:vMerge w:val="restart"/>
            <w:shd w:val="clear" w:color="auto" w:fill="D9D9D9" w:themeFill="background1" w:themeFillShade="D9"/>
          </w:tcPr>
          <w:p w:rsidR="00946B19" w:rsidRPr="00456C0C" w:rsidRDefault="00946B19" w:rsidP="00946B19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 xml:space="preserve">Inhalte </w:t>
            </w:r>
          </w:p>
        </w:tc>
        <w:tc>
          <w:tcPr>
            <w:tcW w:w="4052" w:type="dxa"/>
            <w:vMerge w:val="restart"/>
            <w:shd w:val="clear" w:color="auto" w:fill="D9D9D9" w:themeFill="background1" w:themeFillShade="D9"/>
          </w:tcPr>
          <w:p w:rsidR="00456C0C" w:rsidRPr="00456C0C" w:rsidRDefault="00946B19" w:rsidP="00946B19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 xml:space="preserve">Methoden/Medien </w:t>
            </w:r>
          </w:p>
        </w:tc>
      </w:tr>
      <w:tr w:rsidR="00185E04" w:rsidTr="00217C39">
        <w:tc>
          <w:tcPr>
            <w:tcW w:w="3409" w:type="dxa"/>
            <w:shd w:val="clear" w:color="auto" w:fill="D9D9D9" w:themeFill="background1" w:themeFillShade="D9"/>
          </w:tcPr>
          <w:p w:rsidR="00946B19" w:rsidRDefault="00946B19" w:rsidP="000B3611">
            <w:pPr>
              <w:spacing w:after="102"/>
              <w:rPr>
                <w:sz w:val="20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>Fachkompetenz</w:t>
            </w:r>
            <w:r>
              <w:rPr>
                <w:sz w:val="20"/>
              </w:rPr>
              <w:t xml:space="preserve"> </w:t>
            </w:r>
          </w:p>
          <w:p w:rsidR="00946B19" w:rsidRPr="00946B19" w:rsidRDefault="00946B19" w:rsidP="000B3611">
            <w:pPr>
              <w:spacing w:after="102"/>
              <w:rPr>
                <w:sz w:val="20"/>
              </w:rPr>
            </w:pPr>
            <w:r>
              <w:rPr>
                <w:sz w:val="20"/>
              </w:rPr>
              <w:t>Die Schülerinnen und Schüler…</w:t>
            </w:r>
          </w:p>
        </w:tc>
        <w:tc>
          <w:tcPr>
            <w:tcW w:w="3371" w:type="dxa"/>
            <w:shd w:val="clear" w:color="auto" w:fill="D9D9D9" w:themeFill="background1" w:themeFillShade="D9"/>
          </w:tcPr>
          <w:p w:rsidR="00946B19" w:rsidRDefault="00946B19" w:rsidP="000B3611">
            <w:pPr>
              <w:spacing w:after="102"/>
              <w:jc w:val="both"/>
              <w:rPr>
                <w:sz w:val="20"/>
              </w:rPr>
            </w:pPr>
            <w:r w:rsidRPr="000E54D1">
              <w:rPr>
                <w:rFonts w:ascii="Calibri" w:hAnsi="Calibri" w:cs="Calibri"/>
                <w:b/>
                <w:sz w:val="22"/>
                <w:szCs w:val="22"/>
              </w:rPr>
              <w:t>Personale Kompetenzen</w:t>
            </w:r>
            <w:r>
              <w:rPr>
                <w:sz w:val="20"/>
              </w:rPr>
              <w:t xml:space="preserve"> </w:t>
            </w:r>
          </w:p>
          <w:p w:rsidR="00946B19" w:rsidRPr="00946B19" w:rsidRDefault="00946B19" w:rsidP="000B3611">
            <w:pPr>
              <w:spacing w:after="102"/>
              <w:jc w:val="both"/>
              <w:rPr>
                <w:sz w:val="20"/>
              </w:rPr>
            </w:pPr>
            <w:r>
              <w:rPr>
                <w:sz w:val="20"/>
              </w:rPr>
              <w:t>Die Schülerinnen und Schüler…</w:t>
            </w:r>
          </w:p>
        </w:tc>
        <w:tc>
          <w:tcPr>
            <w:tcW w:w="3444" w:type="dxa"/>
            <w:vMerge/>
          </w:tcPr>
          <w:p w:rsidR="00946B19" w:rsidRDefault="00946B19" w:rsidP="007F6A84"/>
        </w:tc>
        <w:tc>
          <w:tcPr>
            <w:tcW w:w="4052" w:type="dxa"/>
            <w:vMerge/>
          </w:tcPr>
          <w:p w:rsidR="00946B19" w:rsidRDefault="00946B19" w:rsidP="007F6A84"/>
        </w:tc>
      </w:tr>
      <w:tr w:rsidR="00344D45" w:rsidTr="00217C39">
        <w:tc>
          <w:tcPr>
            <w:tcW w:w="3409" w:type="dxa"/>
          </w:tcPr>
          <w:p w:rsidR="00344D45" w:rsidRDefault="00344D45" w:rsidP="00344D45">
            <w:pPr>
              <w:pStyle w:val="Listenabsatz"/>
              <w:numPr>
                <w:ilvl w:val="0"/>
                <w:numId w:val="12"/>
              </w:numPr>
              <w:spacing w:before="60" w:afterLines="300" w:after="720" w:line="242" w:lineRule="auto"/>
              <w:ind w:left="357" w:right="58"/>
              <w:rPr>
                <w:rFonts w:asciiTheme="majorHAnsi" w:hAnsiTheme="majorHAnsi" w:cstheme="majorHAnsi"/>
                <w:sz w:val="20"/>
                <w:szCs w:val="20"/>
              </w:rPr>
            </w:pPr>
            <w:r w:rsidRPr="001B477F">
              <w:rPr>
                <w:rFonts w:asciiTheme="majorHAnsi" w:hAnsiTheme="majorHAnsi" w:cstheme="majorHAnsi"/>
                <w:sz w:val="20"/>
                <w:szCs w:val="20"/>
              </w:rPr>
              <w:t>erfassen die Handlungssituation</w:t>
            </w:r>
          </w:p>
          <w:p w:rsidR="00344D45" w:rsidRPr="006157ED" w:rsidRDefault="00344D45" w:rsidP="00344D45">
            <w:pPr>
              <w:pStyle w:val="Listenabsatz"/>
              <w:numPr>
                <w:ilvl w:val="0"/>
                <w:numId w:val="12"/>
              </w:numPr>
              <w:spacing w:before="60" w:afterLines="300" w:after="720" w:line="242" w:lineRule="auto"/>
              <w:ind w:left="357" w:right="5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kennen die </w:t>
            </w:r>
            <w:r w:rsidR="003B1E88">
              <w:rPr>
                <w:rFonts w:ascii="Calibri Light" w:hAnsi="Calibri Light" w:cs="Calibri Light"/>
                <w:sz w:val="20"/>
                <w:szCs w:val="20"/>
              </w:rPr>
              <w:t xml:space="preserve">Stein- und </w:t>
            </w:r>
            <w:proofErr w:type="spellStart"/>
            <w:r w:rsidR="003B1E88">
              <w:rPr>
                <w:rFonts w:ascii="Calibri Light" w:hAnsi="Calibri Light" w:cs="Calibri Light"/>
                <w:sz w:val="20"/>
                <w:szCs w:val="20"/>
              </w:rPr>
              <w:t>Mörtelb</w:t>
            </w:r>
            <w:r w:rsidRPr="006157ED">
              <w:rPr>
                <w:rFonts w:ascii="Calibri Light" w:hAnsi="Calibri Light" w:cs="Calibri Light"/>
                <w:sz w:val="20"/>
                <w:szCs w:val="20"/>
              </w:rPr>
              <w:t>ezzeichnungen</w:t>
            </w:r>
            <w:proofErr w:type="spellEnd"/>
            <w:r w:rsidRPr="006157ED">
              <w:rPr>
                <w:rFonts w:ascii="Calibri Light" w:hAnsi="Calibri Light" w:cs="Calibri Light"/>
                <w:sz w:val="20"/>
                <w:szCs w:val="20"/>
              </w:rPr>
              <w:t>, Materialien und S</w:t>
            </w:r>
            <w:r>
              <w:rPr>
                <w:rFonts w:ascii="Calibri Light" w:hAnsi="Calibri Light" w:cs="Calibri Light"/>
                <w:sz w:val="20"/>
                <w:szCs w:val="20"/>
              </w:rPr>
              <w:t>teinformate.</w:t>
            </w:r>
          </w:p>
          <w:p w:rsidR="00344D45" w:rsidRPr="001B477F" w:rsidRDefault="00344D45" w:rsidP="00344D45">
            <w:pPr>
              <w:pStyle w:val="Listenabsatz"/>
              <w:spacing w:before="60" w:afterLines="300" w:after="720" w:line="242" w:lineRule="auto"/>
              <w:ind w:left="357" w:right="5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344D45" w:rsidRDefault="00344D45" w:rsidP="00344D4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4D45">
              <w:rPr>
                <w:rFonts w:asciiTheme="majorHAnsi" w:hAnsiTheme="majorHAnsi" w:cstheme="majorHAnsi"/>
                <w:sz w:val="20"/>
                <w:szCs w:val="20"/>
              </w:rPr>
              <w:t>- bringen kontinuierlich ihre Unterrichtsmaterialien mit</w:t>
            </w:r>
            <w:r w:rsidRPr="00344D45">
              <w:rPr>
                <w:rFonts w:asciiTheme="majorHAnsi" w:hAnsiTheme="majorHAnsi" w:cstheme="majorHAnsi"/>
                <w:sz w:val="20"/>
                <w:szCs w:val="20"/>
              </w:rPr>
              <w:br/>
              <w:t>- halten sich an die vereinbarten Regeln des gemeinsamen Unterrichts</w:t>
            </w:r>
            <w:r w:rsidRPr="00344D45">
              <w:rPr>
                <w:rFonts w:asciiTheme="majorHAnsi" w:hAnsiTheme="majorHAnsi" w:cstheme="majorHAnsi"/>
                <w:sz w:val="20"/>
                <w:szCs w:val="20"/>
              </w:rPr>
              <w:br/>
              <w:t>- führen Ihr Heft systematisch mit Inhaltsverzeichnis</w:t>
            </w:r>
          </w:p>
        </w:tc>
        <w:tc>
          <w:tcPr>
            <w:tcW w:w="3444" w:type="dxa"/>
          </w:tcPr>
          <w:p w:rsidR="00344D45" w:rsidRPr="001B477F" w:rsidRDefault="00344D45" w:rsidP="00344D45">
            <w:pPr>
              <w:spacing w:before="60" w:afterLines="60" w:after="144" w:line="242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nformieren </w:t>
            </w:r>
          </w:p>
          <w:p w:rsidR="00344D45" w:rsidRPr="00344D45" w:rsidRDefault="00344D45" w:rsidP="00344D45">
            <w:p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344D45">
              <w:rPr>
                <w:rFonts w:asciiTheme="majorHAnsi" w:hAnsiTheme="majorHAnsi" w:cstheme="majorHAnsi"/>
                <w:sz w:val="20"/>
                <w:szCs w:val="20"/>
              </w:rPr>
              <w:t>Steinformate, Steinmaterialien, Wandarten, bauphysikalische Grundlagen MW, Bauricht- und Baunennmaße, Bezeichnungen und Kurzbezeichnungen</w:t>
            </w:r>
            <w:r w:rsidRPr="00344D45"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  <w:tc>
          <w:tcPr>
            <w:tcW w:w="4052" w:type="dxa"/>
          </w:tcPr>
          <w:tbl>
            <w:tblPr>
              <w:tblStyle w:val="Tabellenraster"/>
              <w:tblW w:w="3826" w:type="dxa"/>
              <w:tblLook w:val="04A0" w:firstRow="1" w:lastRow="0" w:firstColumn="1" w:lastColumn="0" w:noHBand="0" w:noVBand="1"/>
            </w:tblPr>
            <w:tblGrid>
              <w:gridCol w:w="3826"/>
            </w:tblGrid>
            <w:tr w:rsidR="00344D45" w:rsidRPr="001B477F" w:rsidTr="00C60672">
              <w:tc>
                <w:tcPr>
                  <w:tcW w:w="3826" w:type="dxa"/>
                </w:tcPr>
                <w:p w:rsidR="00344D45" w:rsidRPr="001B477F" w:rsidRDefault="00344D45" w:rsidP="00344D45">
                  <w:pPr>
                    <w:pStyle w:val="Listenabsatz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1B477F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Handlungssituation </w:t>
                  </w:r>
                </w:p>
                <w:p w:rsidR="00344D45" w:rsidRPr="00344D45" w:rsidRDefault="00344D45" w:rsidP="00344D45">
                  <w:pPr>
                    <w:pStyle w:val="Listenabsatz"/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344D45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Einstieg, Abfrage der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S</w:t>
                  </w:r>
                  <w:r w:rsidRPr="00344D45">
                    <w:rPr>
                      <w:rFonts w:asciiTheme="majorHAnsi" w:hAnsiTheme="majorHAnsi" w:cstheme="majorHAnsi"/>
                      <w:sz w:val="20"/>
                      <w:szCs w:val="20"/>
                    </w:rPr>
                    <w:t>chülererfahrungen</w:t>
                  </w:r>
                  <w:r w:rsidRPr="00344D45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                                        </w:t>
                  </w:r>
                </w:p>
              </w:tc>
            </w:tr>
            <w:tr w:rsidR="00344D45" w:rsidRPr="001B477F" w:rsidTr="00C60672">
              <w:tc>
                <w:tcPr>
                  <w:tcW w:w="3826" w:type="dxa"/>
                </w:tcPr>
                <w:p w:rsidR="00344D45" w:rsidRPr="001B477F" w:rsidRDefault="003B1E88" w:rsidP="003B1E88">
                  <w:pPr>
                    <w:pStyle w:val="Listenabsatz"/>
                    <w:numPr>
                      <w:ilvl w:val="0"/>
                      <w:numId w:val="13"/>
                    </w:num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 w:rsidRPr="003B1E88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Lernsituation </w:t>
                  </w:r>
                  <w:r w:rsidRPr="003B1E88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br/>
                  </w:r>
                  <w:r w:rsidR="00344D45" w:rsidRPr="00344D45">
                    <w:rPr>
                      <w:rFonts w:asciiTheme="majorHAnsi" w:hAnsiTheme="majorHAnsi" w:cstheme="majorHAnsi"/>
                      <w:sz w:val="20"/>
                      <w:szCs w:val="20"/>
                    </w:rPr>
                    <w:t>Bilder</w:t>
                  </w:r>
                  <w:r w:rsidR="00344D45" w:rsidRPr="00344D45">
                    <w:rPr>
                      <w:rFonts w:asciiTheme="majorHAnsi" w:hAnsiTheme="majorHAnsi" w:cstheme="majorHAnsi"/>
                      <w:sz w:val="20"/>
                      <w:szCs w:val="20"/>
                    </w:rPr>
                    <w:br/>
                    <w:t>Arbeitsblätter</w:t>
                  </w:r>
                  <w:r w:rsidR="00344D45" w:rsidRPr="00344D45">
                    <w:rPr>
                      <w:rFonts w:asciiTheme="majorHAnsi" w:hAnsiTheme="majorHAnsi" w:cstheme="majorHAnsi"/>
                      <w:sz w:val="20"/>
                      <w:szCs w:val="20"/>
                    </w:rPr>
                    <w:br/>
                    <w:t>Fachbuch</w:t>
                  </w:r>
                  <w:r w:rsidR="00344D45" w:rsidRPr="001B477F"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                                    </w:t>
                  </w:r>
                </w:p>
              </w:tc>
            </w:tr>
          </w:tbl>
          <w:p w:rsidR="00344D45" w:rsidRPr="001B477F" w:rsidRDefault="00344D45" w:rsidP="00344D4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44D45" w:rsidTr="00217C39">
        <w:tc>
          <w:tcPr>
            <w:tcW w:w="3409" w:type="dxa"/>
          </w:tcPr>
          <w:p w:rsidR="00344D45" w:rsidRPr="001B477F" w:rsidRDefault="00344D45" w:rsidP="00344D45">
            <w:pPr>
              <w:pStyle w:val="Listenabsatz"/>
              <w:numPr>
                <w:ilvl w:val="0"/>
                <w:numId w:val="11"/>
              </w:numPr>
              <w:spacing w:before="60" w:afterLines="60" w:after="144" w:line="242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3F542F" w:rsidRDefault="00344D45" w:rsidP="00344D45">
            <w:pPr>
              <w:pStyle w:val="Listenabsatz"/>
              <w:numPr>
                <w:ilvl w:val="0"/>
                <w:numId w:val="11"/>
              </w:numPr>
              <w:spacing w:before="60" w:afterLines="60" w:after="14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4" w:type="dxa"/>
          </w:tcPr>
          <w:p w:rsidR="00344D45" w:rsidRPr="001B477F" w:rsidRDefault="00344D45" w:rsidP="00344D4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Planen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und Entscheiden</w:t>
            </w:r>
          </w:p>
          <w:p w:rsidR="00344D45" w:rsidRPr="001B477F" w:rsidRDefault="00344D45" w:rsidP="00344D4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52" w:type="dxa"/>
          </w:tcPr>
          <w:p w:rsidR="00344D45" w:rsidRPr="00217C39" w:rsidRDefault="00344D45" w:rsidP="00344D45">
            <w:pPr>
              <w:pStyle w:val="Listenabsatz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344D45" w:rsidRPr="001B477F" w:rsidRDefault="00344D45" w:rsidP="00344D45">
            <w:pPr>
              <w:pStyle w:val="Listenabsatz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    </w:t>
            </w:r>
          </w:p>
        </w:tc>
      </w:tr>
      <w:tr w:rsidR="00344D45" w:rsidTr="00217C39">
        <w:tc>
          <w:tcPr>
            <w:tcW w:w="3409" w:type="dxa"/>
          </w:tcPr>
          <w:p w:rsidR="003B1E88" w:rsidRPr="003B1E88" w:rsidRDefault="003B1E88" w:rsidP="00344D45">
            <w:pPr>
              <w:pStyle w:val="Listenabsatz"/>
              <w:numPr>
                <w:ilvl w:val="0"/>
                <w:numId w:val="11"/>
              </w:numPr>
              <w:spacing w:before="60" w:afterLines="300" w:after="720" w:line="242" w:lineRule="auto"/>
              <w:ind w:right="5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berechnen Mauerhöhen und –längen</w:t>
            </w:r>
            <w:r w:rsidR="00344D45" w:rsidRPr="006157ED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:rsidR="00344D45" w:rsidRPr="006157ED" w:rsidRDefault="003B1E88" w:rsidP="00344D45">
            <w:pPr>
              <w:pStyle w:val="Listenabsatz"/>
              <w:numPr>
                <w:ilvl w:val="0"/>
                <w:numId w:val="11"/>
              </w:numPr>
              <w:spacing w:before="60" w:afterLines="300" w:after="720" w:line="242" w:lineRule="auto"/>
              <w:ind w:right="5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wandeln Bauricht- in Baunennmaße um</w:t>
            </w:r>
            <w:r w:rsidR="00344D45" w:rsidRPr="006157E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:rsidR="00344D45" w:rsidRPr="001B477F" w:rsidRDefault="00344D45" w:rsidP="00344D45">
            <w:pPr>
              <w:pStyle w:val="Listenabsatz"/>
              <w:spacing w:before="60" w:afterLines="60" w:after="144" w:line="242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72724C" w:rsidRDefault="00344D45" w:rsidP="00344D45">
            <w:pPr>
              <w:pStyle w:val="Listenabsatz"/>
              <w:numPr>
                <w:ilvl w:val="0"/>
                <w:numId w:val="11"/>
              </w:numPr>
              <w:spacing w:before="60" w:afterLines="60" w:after="14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4" w:type="dxa"/>
          </w:tcPr>
          <w:p w:rsidR="00344D45" w:rsidRDefault="00344D45" w:rsidP="00344D45">
            <w:pPr>
              <w:spacing w:before="60" w:afterLines="60" w:after="144" w:line="242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urchführen</w:t>
            </w:r>
          </w:p>
          <w:p w:rsidR="00344D45" w:rsidRPr="001B477F" w:rsidRDefault="00344D45" w:rsidP="00344D45">
            <w:pPr>
              <w:ind w:left="3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052" w:type="dxa"/>
          </w:tcPr>
          <w:p w:rsidR="00344D45" w:rsidRPr="00217C39" w:rsidRDefault="00344D45" w:rsidP="00344D45">
            <w:pPr>
              <w:pStyle w:val="Listenabsatz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17C39">
              <w:rPr>
                <w:rFonts w:asciiTheme="majorHAnsi" w:hAnsiTheme="majorHAnsi" w:cstheme="majorHAnsi"/>
                <w:b/>
                <w:sz w:val="20"/>
                <w:szCs w:val="20"/>
              </w:rPr>
              <w:t>Handlungsprodukt</w:t>
            </w:r>
          </w:p>
          <w:p w:rsidR="00344D45" w:rsidRPr="001B477F" w:rsidRDefault="00344D45" w:rsidP="00344D45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44D45" w:rsidTr="00217C39">
        <w:tc>
          <w:tcPr>
            <w:tcW w:w="3409" w:type="dxa"/>
          </w:tcPr>
          <w:p w:rsidR="00344D45" w:rsidRPr="001B477F" w:rsidRDefault="00344D45" w:rsidP="00344D45">
            <w:pPr>
              <w:pStyle w:val="Listenabsatz"/>
              <w:spacing w:before="60" w:afterLines="60" w:after="144" w:line="242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371" w:type="dxa"/>
          </w:tcPr>
          <w:p w:rsidR="00344D45" w:rsidRPr="00B95533" w:rsidRDefault="00344D45" w:rsidP="00344D45">
            <w:pPr>
              <w:pStyle w:val="Listenabsatz"/>
              <w:spacing w:before="60" w:afterLines="60" w:after="144"/>
              <w:ind w:left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44" w:type="dxa"/>
          </w:tcPr>
          <w:p w:rsidR="00344D45" w:rsidRDefault="00344D45" w:rsidP="00344D45">
            <w:pPr>
              <w:spacing w:before="60" w:afterLines="60" w:after="144" w:line="242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ontrollieren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und R</w:t>
            </w:r>
            <w:r w:rsidRPr="001B477F">
              <w:rPr>
                <w:rFonts w:asciiTheme="majorHAnsi" w:hAnsiTheme="majorHAnsi" w:cstheme="majorHAnsi"/>
                <w:b/>
                <w:sz w:val="20"/>
                <w:szCs w:val="20"/>
              </w:rPr>
              <w:t>eflektieren</w:t>
            </w:r>
          </w:p>
          <w:p w:rsidR="00344D45" w:rsidRPr="005C4FE8" w:rsidRDefault="00344D45" w:rsidP="00344D45">
            <w:p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052" w:type="dxa"/>
          </w:tcPr>
          <w:p w:rsidR="00344D45" w:rsidRPr="00434F65" w:rsidRDefault="00344D45" w:rsidP="00344D45">
            <w:pPr>
              <w:pStyle w:val="Listenabsatz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:rsidR="0092026A" w:rsidRDefault="0092026A" w:rsidP="007F6A84"/>
    <w:p w:rsidR="0092026A" w:rsidRDefault="0092026A" w:rsidP="007F6A84"/>
    <w:p w:rsidR="0092026A" w:rsidRDefault="0092026A" w:rsidP="007F6A84"/>
    <w:p w:rsidR="0092026A" w:rsidRDefault="0092026A" w:rsidP="0092026A">
      <w:pPr>
        <w:pStyle w:val="berschrift1"/>
      </w:pPr>
      <w:r>
        <w:t>Weitere schulische Entscheidungen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7477"/>
      </w:tblGrid>
      <w:tr w:rsidR="00FA5E26" w:rsidRPr="00B447E6" w:rsidTr="00FA5E26">
        <w:tc>
          <w:tcPr>
            <w:tcW w:w="6799" w:type="dxa"/>
          </w:tcPr>
          <w:p w:rsidR="00FA5E26" w:rsidRPr="00AF6A8E" w:rsidRDefault="00FA5E26" w:rsidP="006247B8">
            <w:pPr>
              <w:spacing w:after="239"/>
              <w:ind w:left="1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weiterführende Links</w:t>
            </w:r>
            <w:r>
              <w:t>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</w:p>
        </w:tc>
        <w:tc>
          <w:tcPr>
            <w:tcW w:w="7477" w:type="dxa"/>
          </w:tcPr>
          <w:p w:rsidR="00FA5E26" w:rsidRPr="00FA5E26" w:rsidRDefault="00FA5E26" w:rsidP="00FA5E26">
            <w:pPr>
              <w:spacing w:before="20" w:after="20"/>
              <w:rPr>
                <w:rFonts w:asciiTheme="majorHAnsi" w:hAnsiTheme="majorHAnsi" w:cstheme="majorHAnsi"/>
              </w:rPr>
            </w:pPr>
            <w:r w:rsidRPr="00FA5E26">
              <w:rPr>
                <w:rFonts w:asciiTheme="majorHAnsi" w:hAnsiTheme="majorHAnsi" w:cstheme="majorHAnsi"/>
              </w:rPr>
              <w:t xml:space="preserve">Informationen zur Erstellung und Hintergrundwissen zum </w:t>
            </w:r>
            <w:proofErr w:type="spellStart"/>
            <w:r w:rsidRPr="00FA5E26">
              <w:rPr>
                <w:rFonts w:asciiTheme="majorHAnsi" w:hAnsiTheme="majorHAnsi" w:cstheme="majorHAnsi"/>
              </w:rPr>
              <w:t>SchuCuBBS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:rsidR="00FA5E26" w:rsidRPr="00B447E6" w:rsidRDefault="00F9780C" w:rsidP="00FA5E26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9" w:history="1">
              <w:r w:rsidR="00FA5E26" w:rsidRPr="00FA5E26">
                <w:rPr>
                  <w:rStyle w:val="Hyperlink"/>
                  <w:rFonts w:asciiTheme="majorHAnsi" w:hAnsiTheme="majorHAnsi" w:cstheme="majorHAnsi"/>
                </w:rPr>
                <w:t>https://schucu-bbs.nline.nibis.de/nibis.php?menid=352</w:t>
              </w:r>
            </w:hyperlink>
          </w:p>
        </w:tc>
      </w:tr>
    </w:tbl>
    <w:p w:rsidR="00CB4A6B" w:rsidRPr="007F6A84" w:rsidRDefault="00CB4A6B" w:rsidP="007F6A84"/>
    <w:sectPr w:rsidR="00CB4A6B" w:rsidRPr="007F6A84" w:rsidSect="00210152">
      <w:headerReference w:type="default" r:id="rId10"/>
      <w:pgSz w:w="16838" w:h="11906" w:orient="landscape" w:code="9"/>
      <w:pgMar w:top="1258" w:right="1418" w:bottom="1082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E88" w:rsidRDefault="003B1E88">
      <w:r>
        <w:separator/>
      </w:r>
    </w:p>
  </w:endnote>
  <w:endnote w:type="continuationSeparator" w:id="0">
    <w:p w:rsidR="003B1E88" w:rsidRDefault="003B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E88" w:rsidRDefault="003B1E88">
      <w:r>
        <w:separator/>
      </w:r>
    </w:p>
  </w:footnote>
  <w:footnote w:type="continuationSeparator" w:id="0">
    <w:p w:rsidR="003B1E88" w:rsidRDefault="003B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88" w:rsidRPr="00D00FE0" w:rsidRDefault="003B1E88" w:rsidP="00D00FE0">
    <w:pPr>
      <w:pStyle w:val="Kopfzeile"/>
      <w:ind w:left="-114" w:right="-47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60D7"/>
    <w:multiLevelType w:val="hybridMultilevel"/>
    <w:tmpl w:val="A268E9E4"/>
    <w:lvl w:ilvl="0" w:tplc="12968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444E"/>
    <w:multiLevelType w:val="hybridMultilevel"/>
    <w:tmpl w:val="6AA49EAC"/>
    <w:lvl w:ilvl="0" w:tplc="ACC81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E61D7"/>
    <w:multiLevelType w:val="hybridMultilevel"/>
    <w:tmpl w:val="13865E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4928"/>
    <w:multiLevelType w:val="hybridMultilevel"/>
    <w:tmpl w:val="B8E843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C4D95"/>
    <w:multiLevelType w:val="hybridMultilevel"/>
    <w:tmpl w:val="E1225202"/>
    <w:lvl w:ilvl="0" w:tplc="CD1C1F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03F0D"/>
    <w:multiLevelType w:val="hybridMultilevel"/>
    <w:tmpl w:val="0BF656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56BCC"/>
    <w:multiLevelType w:val="hybridMultilevel"/>
    <w:tmpl w:val="E564F1CE"/>
    <w:lvl w:ilvl="0" w:tplc="5C9E6E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A4B49"/>
    <w:multiLevelType w:val="hybridMultilevel"/>
    <w:tmpl w:val="27F097A2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7E8C566">
      <w:start w:val="1"/>
      <w:numFmt w:val="bullet"/>
      <w:lvlText w:val=""/>
      <w:lvlJc w:val="left"/>
      <w:pPr>
        <w:tabs>
          <w:tab w:val="num" w:pos="907"/>
        </w:tabs>
        <w:ind w:left="927" w:hanging="207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965AAF"/>
    <w:multiLevelType w:val="hybridMultilevel"/>
    <w:tmpl w:val="08C0F688"/>
    <w:lvl w:ilvl="0" w:tplc="E9CA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E712C"/>
    <w:multiLevelType w:val="hybridMultilevel"/>
    <w:tmpl w:val="79C28F66"/>
    <w:lvl w:ilvl="0" w:tplc="B888CA6E">
      <w:start w:val="6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BB16BB"/>
    <w:multiLevelType w:val="hybridMultilevel"/>
    <w:tmpl w:val="CF047392"/>
    <w:lvl w:ilvl="0" w:tplc="7364445C">
      <w:start w:val="6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2B75A0"/>
    <w:multiLevelType w:val="hybridMultilevel"/>
    <w:tmpl w:val="3AB83472"/>
    <w:lvl w:ilvl="0" w:tplc="73BEB7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B18E4"/>
    <w:multiLevelType w:val="hybridMultilevel"/>
    <w:tmpl w:val="64DA5BD8"/>
    <w:lvl w:ilvl="0" w:tplc="794E12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A147E"/>
    <w:multiLevelType w:val="hybridMultilevel"/>
    <w:tmpl w:val="ADE6C1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56C5F"/>
    <w:multiLevelType w:val="hybridMultilevel"/>
    <w:tmpl w:val="B1268EA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275976"/>
    <w:multiLevelType w:val="hybridMultilevel"/>
    <w:tmpl w:val="FF74A16A"/>
    <w:lvl w:ilvl="0" w:tplc="0407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7EA720C7"/>
    <w:multiLevelType w:val="hybridMultilevel"/>
    <w:tmpl w:val="73E0DCC2"/>
    <w:lvl w:ilvl="0" w:tplc="118CAA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1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15"/>
  </w:num>
  <w:num w:numId="10">
    <w:abstractNumId w:val="7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  <w:num w:numId="15">
    <w:abstractNumId w:val="1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3D"/>
    <w:rsid w:val="000104C0"/>
    <w:rsid w:val="00043C27"/>
    <w:rsid w:val="00044E6D"/>
    <w:rsid w:val="00045A5D"/>
    <w:rsid w:val="000546E0"/>
    <w:rsid w:val="000639B0"/>
    <w:rsid w:val="00066550"/>
    <w:rsid w:val="00076570"/>
    <w:rsid w:val="00076B43"/>
    <w:rsid w:val="000811AF"/>
    <w:rsid w:val="00084C81"/>
    <w:rsid w:val="00091613"/>
    <w:rsid w:val="000917E3"/>
    <w:rsid w:val="00095962"/>
    <w:rsid w:val="00096F47"/>
    <w:rsid w:val="00097688"/>
    <w:rsid w:val="000B2EFF"/>
    <w:rsid w:val="000B3611"/>
    <w:rsid w:val="000B7638"/>
    <w:rsid w:val="000D5EBB"/>
    <w:rsid w:val="000E54D1"/>
    <w:rsid w:val="000F61BF"/>
    <w:rsid w:val="00102093"/>
    <w:rsid w:val="00103581"/>
    <w:rsid w:val="001042A6"/>
    <w:rsid w:val="001057BC"/>
    <w:rsid w:val="00114734"/>
    <w:rsid w:val="001170C9"/>
    <w:rsid w:val="001208C0"/>
    <w:rsid w:val="00120DC9"/>
    <w:rsid w:val="00121698"/>
    <w:rsid w:val="0013495D"/>
    <w:rsid w:val="00145DD3"/>
    <w:rsid w:val="00150F75"/>
    <w:rsid w:val="00155F83"/>
    <w:rsid w:val="00160E71"/>
    <w:rsid w:val="00161A0E"/>
    <w:rsid w:val="00171CC5"/>
    <w:rsid w:val="001756B9"/>
    <w:rsid w:val="00177D56"/>
    <w:rsid w:val="00181378"/>
    <w:rsid w:val="00185E04"/>
    <w:rsid w:val="0019739C"/>
    <w:rsid w:val="00197BC3"/>
    <w:rsid w:val="001A6FF3"/>
    <w:rsid w:val="001B477F"/>
    <w:rsid w:val="001B5808"/>
    <w:rsid w:val="001C1B94"/>
    <w:rsid w:val="001D7496"/>
    <w:rsid w:val="001E3BAA"/>
    <w:rsid w:val="001F54F7"/>
    <w:rsid w:val="002017DE"/>
    <w:rsid w:val="00210152"/>
    <w:rsid w:val="00215E7A"/>
    <w:rsid w:val="00217C39"/>
    <w:rsid w:val="00231340"/>
    <w:rsid w:val="002320DA"/>
    <w:rsid w:val="0024016A"/>
    <w:rsid w:val="002575F3"/>
    <w:rsid w:val="002663A0"/>
    <w:rsid w:val="00271E8F"/>
    <w:rsid w:val="00273B04"/>
    <w:rsid w:val="00280D69"/>
    <w:rsid w:val="002832BB"/>
    <w:rsid w:val="00290FAD"/>
    <w:rsid w:val="002A23E8"/>
    <w:rsid w:val="002B39B5"/>
    <w:rsid w:val="002D3979"/>
    <w:rsid w:val="002D616E"/>
    <w:rsid w:val="002E6476"/>
    <w:rsid w:val="002E6F21"/>
    <w:rsid w:val="0031534B"/>
    <w:rsid w:val="00315E65"/>
    <w:rsid w:val="00322F92"/>
    <w:rsid w:val="00336AAF"/>
    <w:rsid w:val="003374DB"/>
    <w:rsid w:val="00340D8E"/>
    <w:rsid w:val="00344D45"/>
    <w:rsid w:val="0035271E"/>
    <w:rsid w:val="0035383D"/>
    <w:rsid w:val="003547BF"/>
    <w:rsid w:val="00360708"/>
    <w:rsid w:val="003631F6"/>
    <w:rsid w:val="00383947"/>
    <w:rsid w:val="003A5149"/>
    <w:rsid w:val="003B06CA"/>
    <w:rsid w:val="003B1E88"/>
    <w:rsid w:val="003B2F6D"/>
    <w:rsid w:val="003C68B2"/>
    <w:rsid w:val="003E52A7"/>
    <w:rsid w:val="003F542F"/>
    <w:rsid w:val="003F70AA"/>
    <w:rsid w:val="004056C9"/>
    <w:rsid w:val="0040739D"/>
    <w:rsid w:val="00424A65"/>
    <w:rsid w:val="00424CF0"/>
    <w:rsid w:val="00430CC1"/>
    <w:rsid w:val="00434F65"/>
    <w:rsid w:val="00437D9C"/>
    <w:rsid w:val="00446107"/>
    <w:rsid w:val="004472C3"/>
    <w:rsid w:val="00456C0C"/>
    <w:rsid w:val="0046459D"/>
    <w:rsid w:val="00474058"/>
    <w:rsid w:val="00477916"/>
    <w:rsid w:val="00485474"/>
    <w:rsid w:val="00485AF5"/>
    <w:rsid w:val="00487303"/>
    <w:rsid w:val="00490E3F"/>
    <w:rsid w:val="004947CC"/>
    <w:rsid w:val="004A1AC3"/>
    <w:rsid w:val="004A2627"/>
    <w:rsid w:val="004A2895"/>
    <w:rsid w:val="004A2F0A"/>
    <w:rsid w:val="004B70B2"/>
    <w:rsid w:val="004C616A"/>
    <w:rsid w:val="004E0138"/>
    <w:rsid w:val="004E1925"/>
    <w:rsid w:val="004E1EE2"/>
    <w:rsid w:val="004F0B82"/>
    <w:rsid w:val="004F5DB4"/>
    <w:rsid w:val="00507182"/>
    <w:rsid w:val="005343A3"/>
    <w:rsid w:val="00555710"/>
    <w:rsid w:val="00556EAA"/>
    <w:rsid w:val="00571BB7"/>
    <w:rsid w:val="0057521A"/>
    <w:rsid w:val="00580193"/>
    <w:rsid w:val="005864BF"/>
    <w:rsid w:val="00590B82"/>
    <w:rsid w:val="005A0054"/>
    <w:rsid w:val="005A09D7"/>
    <w:rsid w:val="005A1CE2"/>
    <w:rsid w:val="005A74FD"/>
    <w:rsid w:val="005C0E34"/>
    <w:rsid w:val="005C1200"/>
    <w:rsid w:val="005C4FE8"/>
    <w:rsid w:val="005C5CA7"/>
    <w:rsid w:val="005D12E2"/>
    <w:rsid w:val="005D1B8D"/>
    <w:rsid w:val="005D32AD"/>
    <w:rsid w:val="005D3393"/>
    <w:rsid w:val="005D56F5"/>
    <w:rsid w:val="005E2D6E"/>
    <w:rsid w:val="005E74AE"/>
    <w:rsid w:val="005E7B24"/>
    <w:rsid w:val="005F218E"/>
    <w:rsid w:val="005F75FD"/>
    <w:rsid w:val="00604CEC"/>
    <w:rsid w:val="00612AE9"/>
    <w:rsid w:val="006157ED"/>
    <w:rsid w:val="00617D47"/>
    <w:rsid w:val="00617D8E"/>
    <w:rsid w:val="00623F89"/>
    <w:rsid w:val="006247B8"/>
    <w:rsid w:val="0064504A"/>
    <w:rsid w:val="00655317"/>
    <w:rsid w:val="00663053"/>
    <w:rsid w:val="0066557F"/>
    <w:rsid w:val="0066617F"/>
    <w:rsid w:val="00667C8C"/>
    <w:rsid w:val="006725F2"/>
    <w:rsid w:val="00676CD7"/>
    <w:rsid w:val="00683F04"/>
    <w:rsid w:val="00686057"/>
    <w:rsid w:val="006C556B"/>
    <w:rsid w:val="006D49D1"/>
    <w:rsid w:val="006D5239"/>
    <w:rsid w:val="006E13E8"/>
    <w:rsid w:val="006F7925"/>
    <w:rsid w:val="00711F8B"/>
    <w:rsid w:val="00715B6B"/>
    <w:rsid w:val="00721EF5"/>
    <w:rsid w:val="0072724C"/>
    <w:rsid w:val="00736164"/>
    <w:rsid w:val="00737E1D"/>
    <w:rsid w:val="007425D6"/>
    <w:rsid w:val="00747947"/>
    <w:rsid w:val="007520C7"/>
    <w:rsid w:val="007524D9"/>
    <w:rsid w:val="0075718E"/>
    <w:rsid w:val="00757371"/>
    <w:rsid w:val="00762F7C"/>
    <w:rsid w:val="00764616"/>
    <w:rsid w:val="007702D6"/>
    <w:rsid w:val="00780832"/>
    <w:rsid w:val="00780890"/>
    <w:rsid w:val="007847DD"/>
    <w:rsid w:val="00790CC0"/>
    <w:rsid w:val="00791410"/>
    <w:rsid w:val="00791B14"/>
    <w:rsid w:val="007A12A0"/>
    <w:rsid w:val="007A2DCE"/>
    <w:rsid w:val="007B3B03"/>
    <w:rsid w:val="007B584D"/>
    <w:rsid w:val="007B788F"/>
    <w:rsid w:val="007C3FC2"/>
    <w:rsid w:val="007D6953"/>
    <w:rsid w:val="007D7A88"/>
    <w:rsid w:val="007E0783"/>
    <w:rsid w:val="007E146C"/>
    <w:rsid w:val="007E166E"/>
    <w:rsid w:val="007F1A97"/>
    <w:rsid w:val="007F3E81"/>
    <w:rsid w:val="007F6A84"/>
    <w:rsid w:val="007F6EF8"/>
    <w:rsid w:val="00811842"/>
    <w:rsid w:val="00833C0E"/>
    <w:rsid w:val="0084348F"/>
    <w:rsid w:val="0085031F"/>
    <w:rsid w:val="008617F1"/>
    <w:rsid w:val="008749FF"/>
    <w:rsid w:val="00877319"/>
    <w:rsid w:val="00884F76"/>
    <w:rsid w:val="008A4F19"/>
    <w:rsid w:val="008A62A9"/>
    <w:rsid w:val="008B1667"/>
    <w:rsid w:val="008B359D"/>
    <w:rsid w:val="008B5AAF"/>
    <w:rsid w:val="008C4C2B"/>
    <w:rsid w:val="008D011F"/>
    <w:rsid w:val="008D37FF"/>
    <w:rsid w:val="008F2175"/>
    <w:rsid w:val="008F276F"/>
    <w:rsid w:val="00903AAE"/>
    <w:rsid w:val="0092026A"/>
    <w:rsid w:val="00936978"/>
    <w:rsid w:val="00946B19"/>
    <w:rsid w:val="00952F5F"/>
    <w:rsid w:val="00955B8A"/>
    <w:rsid w:val="009676EF"/>
    <w:rsid w:val="00971101"/>
    <w:rsid w:val="0098107C"/>
    <w:rsid w:val="009830B7"/>
    <w:rsid w:val="009839BA"/>
    <w:rsid w:val="0098571A"/>
    <w:rsid w:val="00994398"/>
    <w:rsid w:val="009975C2"/>
    <w:rsid w:val="009A4829"/>
    <w:rsid w:val="009B0CE4"/>
    <w:rsid w:val="009B3B3B"/>
    <w:rsid w:val="009B43C1"/>
    <w:rsid w:val="009C17FA"/>
    <w:rsid w:val="009C5D83"/>
    <w:rsid w:val="009C736D"/>
    <w:rsid w:val="009D6438"/>
    <w:rsid w:val="009D7B9F"/>
    <w:rsid w:val="009F25D1"/>
    <w:rsid w:val="009F3A5B"/>
    <w:rsid w:val="009F732C"/>
    <w:rsid w:val="00A02BF8"/>
    <w:rsid w:val="00A0748B"/>
    <w:rsid w:val="00A17D4D"/>
    <w:rsid w:val="00A2697E"/>
    <w:rsid w:val="00A27055"/>
    <w:rsid w:val="00A32EFB"/>
    <w:rsid w:val="00A34DEB"/>
    <w:rsid w:val="00A5109A"/>
    <w:rsid w:val="00A569D8"/>
    <w:rsid w:val="00A6127E"/>
    <w:rsid w:val="00A6143A"/>
    <w:rsid w:val="00A86B72"/>
    <w:rsid w:val="00A94A03"/>
    <w:rsid w:val="00AB0EAC"/>
    <w:rsid w:val="00AB7492"/>
    <w:rsid w:val="00AC40B9"/>
    <w:rsid w:val="00AC49B2"/>
    <w:rsid w:val="00AE3500"/>
    <w:rsid w:val="00AE7F46"/>
    <w:rsid w:val="00AF16E6"/>
    <w:rsid w:val="00AF2D5A"/>
    <w:rsid w:val="00AF6204"/>
    <w:rsid w:val="00AF6A8E"/>
    <w:rsid w:val="00B009A6"/>
    <w:rsid w:val="00B00E55"/>
    <w:rsid w:val="00B01F1A"/>
    <w:rsid w:val="00B0295A"/>
    <w:rsid w:val="00B035E2"/>
    <w:rsid w:val="00B03C13"/>
    <w:rsid w:val="00B11947"/>
    <w:rsid w:val="00B173F1"/>
    <w:rsid w:val="00B21B13"/>
    <w:rsid w:val="00B22A64"/>
    <w:rsid w:val="00B27992"/>
    <w:rsid w:val="00B354D7"/>
    <w:rsid w:val="00B36831"/>
    <w:rsid w:val="00B447E6"/>
    <w:rsid w:val="00B462B4"/>
    <w:rsid w:val="00B465B8"/>
    <w:rsid w:val="00B50BD4"/>
    <w:rsid w:val="00B76718"/>
    <w:rsid w:val="00B81A37"/>
    <w:rsid w:val="00B95533"/>
    <w:rsid w:val="00BA22D8"/>
    <w:rsid w:val="00BA7414"/>
    <w:rsid w:val="00BC7FF6"/>
    <w:rsid w:val="00C06BFD"/>
    <w:rsid w:val="00C115D9"/>
    <w:rsid w:val="00C1221C"/>
    <w:rsid w:val="00C152C4"/>
    <w:rsid w:val="00C267A0"/>
    <w:rsid w:val="00C35109"/>
    <w:rsid w:val="00C357C6"/>
    <w:rsid w:val="00C4493D"/>
    <w:rsid w:val="00C60672"/>
    <w:rsid w:val="00C6253F"/>
    <w:rsid w:val="00C717E7"/>
    <w:rsid w:val="00C81C76"/>
    <w:rsid w:val="00C86781"/>
    <w:rsid w:val="00C94F29"/>
    <w:rsid w:val="00C95055"/>
    <w:rsid w:val="00CA1ACF"/>
    <w:rsid w:val="00CA217B"/>
    <w:rsid w:val="00CB3F28"/>
    <w:rsid w:val="00CB4A6B"/>
    <w:rsid w:val="00CB522E"/>
    <w:rsid w:val="00CC3374"/>
    <w:rsid w:val="00CD0880"/>
    <w:rsid w:val="00CD51F8"/>
    <w:rsid w:val="00CD5362"/>
    <w:rsid w:val="00CE2CCC"/>
    <w:rsid w:val="00CE3306"/>
    <w:rsid w:val="00CF26E7"/>
    <w:rsid w:val="00D00FE0"/>
    <w:rsid w:val="00D13A2B"/>
    <w:rsid w:val="00D25F4F"/>
    <w:rsid w:val="00D35DDE"/>
    <w:rsid w:val="00D36BA5"/>
    <w:rsid w:val="00D3703A"/>
    <w:rsid w:val="00D4669C"/>
    <w:rsid w:val="00D47784"/>
    <w:rsid w:val="00D530C3"/>
    <w:rsid w:val="00D63C62"/>
    <w:rsid w:val="00D66665"/>
    <w:rsid w:val="00D762C6"/>
    <w:rsid w:val="00D76330"/>
    <w:rsid w:val="00D877E4"/>
    <w:rsid w:val="00D92041"/>
    <w:rsid w:val="00DA461A"/>
    <w:rsid w:val="00DA5A73"/>
    <w:rsid w:val="00DA6290"/>
    <w:rsid w:val="00DA71FB"/>
    <w:rsid w:val="00DB3BB1"/>
    <w:rsid w:val="00DC6C1C"/>
    <w:rsid w:val="00DD4F2C"/>
    <w:rsid w:val="00DD5417"/>
    <w:rsid w:val="00DD59AE"/>
    <w:rsid w:val="00DD7A07"/>
    <w:rsid w:val="00DE5A67"/>
    <w:rsid w:val="00DE704D"/>
    <w:rsid w:val="00DF2DDD"/>
    <w:rsid w:val="00DF5A68"/>
    <w:rsid w:val="00E01794"/>
    <w:rsid w:val="00E102D1"/>
    <w:rsid w:val="00E14866"/>
    <w:rsid w:val="00E1733E"/>
    <w:rsid w:val="00E21FFD"/>
    <w:rsid w:val="00E27306"/>
    <w:rsid w:val="00E3071C"/>
    <w:rsid w:val="00E332ED"/>
    <w:rsid w:val="00E33CD3"/>
    <w:rsid w:val="00E407E2"/>
    <w:rsid w:val="00E42229"/>
    <w:rsid w:val="00E43802"/>
    <w:rsid w:val="00E56AFD"/>
    <w:rsid w:val="00E56C6B"/>
    <w:rsid w:val="00E604E8"/>
    <w:rsid w:val="00E748BA"/>
    <w:rsid w:val="00E9647F"/>
    <w:rsid w:val="00EA310B"/>
    <w:rsid w:val="00ED2015"/>
    <w:rsid w:val="00ED3021"/>
    <w:rsid w:val="00ED3A94"/>
    <w:rsid w:val="00ED651F"/>
    <w:rsid w:val="00EE20CD"/>
    <w:rsid w:val="00EF23F4"/>
    <w:rsid w:val="00EF5EE5"/>
    <w:rsid w:val="00F02E3D"/>
    <w:rsid w:val="00F04A1C"/>
    <w:rsid w:val="00F14095"/>
    <w:rsid w:val="00F17250"/>
    <w:rsid w:val="00F21B2B"/>
    <w:rsid w:val="00F21C9C"/>
    <w:rsid w:val="00F30C6A"/>
    <w:rsid w:val="00F31581"/>
    <w:rsid w:val="00F33A83"/>
    <w:rsid w:val="00F34201"/>
    <w:rsid w:val="00F36EDE"/>
    <w:rsid w:val="00F45775"/>
    <w:rsid w:val="00F562B0"/>
    <w:rsid w:val="00F66820"/>
    <w:rsid w:val="00F721AB"/>
    <w:rsid w:val="00F72AFF"/>
    <w:rsid w:val="00F77E49"/>
    <w:rsid w:val="00F81AD5"/>
    <w:rsid w:val="00F82068"/>
    <w:rsid w:val="00F91DDE"/>
    <w:rsid w:val="00F92274"/>
    <w:rsid w:val="00F9780C"/>
    <w:rsid w:val="00FA16D3"/>
    <w:rsid w:val="00FA26F3"/>
    <w:rsid w:val="00FA5E26"/>
    <w:rsid w:val="00FB72D4"/>
    <w:rsid w:val="00FD6B36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D28A82B"/>
  <w15:chartTrackingRefBased/>
  <w15:docId w15:val="{9F8BE7FB-3142-411F-B382-1425DD6C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next w:val="Standard"/>
    <w:link w:val="berschrift1Zchn"/>
    <w:uiPriority w:val="9"/>
    <w:qFormat/>
    <w:rsid w:val="0092026A"/>
    <w:pPr>
      <w:keepNext/>
      <w:keepLines/>
      <w:spacing w:line="259" w:lineRule="auto"/>
      <w:outlineLvl w:val="0"/>
    </w:pPr>
    <w:rPr>
      <w:rFonts w:ascii="Calibri" w:eastAsia="Calibri" w:hAnsi="Calibri" w:cs="Calibri"/>
      <w:b/>
      <w:color w:val="00000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538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383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9676E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676E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rsid w:val="004472C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472C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4472C3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rsid w:val="00AE7F4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AE7F46"/>
    <w:rPr>
      <w:rFonts w:ascii="Arial" w:hAnsi="Arial"/>
    </w:rPr>
  </w:style>
  <w:style w:type="character" w:styleId="Funotenzeichen">
    <w:name w:val="footnote reference"/>
    <w:basedOn w:val="Absatz-Standardschriftart"/>
    <w:rsid w:val="00AE7F46"/>
    <w:rPr>
      <w:vertAlign w:val="superscript"/>
    </w:rPr>
  </w:style>
  <w:style w:type="paragraph" w:styleId="Listenabsatz">
    <w:name w:val="List Paragraph"/>
    <w:basedOn w:val="Standard"/>
    <w:uiPriority w:val="34"/>
    <w:qFormat/>
    <w:rsid w:val="00AF6A8E"/>
    <w:pPr>
      <w:ind w:left="720"/>
      <w:contextualSpacing/>
    </w:pPr>
  </w:style>
  <w:style w:type="paragraph" w:customStyle="1" w:styleId="footnotedescription">
    <w:name w:val="footnote description"/>
    <w:next w:val="Standard"/>
    <w:link w:val="footnotedescriptionChar"/>
    <w:hidden/>
    <w:rsid w:val="00C6253F"/>
    <w:pPr>
      <w:spacing w:line="259" w:lineRule="auto"/>
    </w:pPr>
    <w:rPr>
      <w:rFonts w:ascii="Arial" w:eastAsia="Arial" w:hAnsi="Arial" w:cs="Arial"/>
      <w:color w:val="000000"/>
      <w:sz w:val="14"/>
      <w:szCs w:val="22"/>
    </w:rPr>
  </w:style>
  <w:style w:type="character" w:customStyle="1" w:styleId="footnotedescriptionChar">
    <w:name w:val="footnote description Char"/>
    <w:link w:val="footnotedescription"/>
    <w:rsid w:val="00C6253F"/>
    <w:rPr>
      <w:rFonts w:ascii="Arial" w:eastAsia="Arial" w:hAnsi="Arial" w:cs="Arial"/>
      <w:color w:val="000000"/>
      <w:sz w:val="14"/>
      <w:szCs w:val="22"/>
    </w:rPr>
  </w:style>
  <w:style w:type="character" w:customStyle="1" w:styleId="footnotemark">
    <w:name w:val="footnote mark"/>
    <w:hidden/>
    <w:rsid w:val="00C6253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026A"/>
    <w:rPr>
      <w:rFonts w:ascii="Calibri" w:eastAsia="Calibri" w:hAnsi="Calibri" w:cs="Calibri"/>
      <w:b/>
      <w:color w:val="000000"/>
      <w:szCs w:val="22"/>
    </w:rPr>
  </w:style>
  <w:style w:type="table" w:customStyle="1" w:styleId="TableGrid">
    <w:name w:val="TableGrid"/>
    <w:rsid w:val="0092026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7B9F"/>
    <w:pPr>
      <w:autoSpaceDE w:val="0"/>
      <w:autoSpaceDN w:val="0"/>
      <w:adjustRightInd w:val="0"/>
    </w:pPr>
    <w:rPr>
      <w:rFonts w:ascii="Calibri" w:eastAsia="PMingLiU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hucu-bbs.nline.nibis.de/nibis.php?menid=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3BCDB-7B26-4C86-A5A8-9F5DF0729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Kompetenzen</vt:lpstr>
    </vt:vector>
  </TitlesOfParts>
  <Company>BBS II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Kompetenzen</dc:title>
  <dc:subject/>
  <dc:creator>BBS II</dc:creator>
  <cp:keywords/>
  <cp:lastModifiedBy>Homrighausen, Oliver (HOM)</cp:lastModifiedBy>
  <cp:revision>10</cp:revision>
  <cp:lastPrinted>2022-05-16T11:16:00Z</cp:lastPrinted>
  <dcterms:created xsi:type="dcterms:W3CDTF">2025-05-28T06:54:00Z</dcterms:created>
  <dcterms:modified xsi:type="dcterms:W3CDTF">2025-05-28T09:57:00Z</dcterms:modified>
</cp:coreProperties>
</file>