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B46BC7">
              <w:rPr>
                <w:rFonts w:ascii="Tahoma" w:hAnsi="Tahoma" w:cs="Tahoma"/>
                <w:b/>
              </w:rPr>
              <w:t>BMA3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E40369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3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Pr="00353D5D" w:rsidRDefault="003B1E88" w:rsidP="00E4036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8"/>
                <w:szCs w:val="28"/>
              </w:rPr>
            </w:pPr>
            <w:r w:rsidRPr="00353D5D">
              <w:rPr>
                <w:rFonts w:ascii="Tahoma" w:hAnsi="Tahoma" w:cs="Tahoma"/>
                <w:sz w:val="28"/>
                <w:szCs w:val="28"/>
              </w:rPr>
              <w:t>“</w:t>
            </w:r>
            <w:r w:rsidR="004B3E7E">
              <w:rPr>
                <w:rFonts w:ascii="Tahoma" w:hAnsi="Tahoma" w:cs="Tahoma"/>
                <w:bCs/>
                <w:sz w:val="28"/>
                <w:szCs w:val="28"/>
              </w:rPr>
              <w:t>Besondere Bauteile</w:t>
            </w:r>
            <w:r w:rsidR="00FE56F6">
              <w:rPr>
                <w:rFonts w:ascii="Tahoma" w:hAnsi="Tahoma" w:cs="Tahoma"/>
                <w:bCs/>
                <w:sz w:val="28"/>
                <w:szCs w:val="28"/>
              </w:rPr>
              <w:t xml:space="preserve"> herstellen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“</w:t>
            </w:r>
            <w:r w:rsidR="00952873" w:rsidRPr="00353D5D">
              <w:rPr>
                <w:rFonts w:ascii="Tahoma" w:hAnsi="Tahoma" w:cs="Tahoma"/>
                <w:sz w:val="28"/>
                <w:szCs w:val="28"/>
              </w:rPr>
              <w:br/>
              <w:t xml:space="preserve">LF </w:t>
            </w:r>
            <w:r w:rsidR="00E40369">
              <w:rPr>
                <w:rFonts w:ascii="Tahoma" w:hAnsi="Tahoma" w:cs="Tahoma"/>
                <w:sz w:val="28"/>
                <w:szCs w:val="28"/>
              </w:rPr>
              <w:t>1</w:t>
            </w:r>
            <w:r w:rsidR="004B3E7E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4B3E7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bookmarkStart w:id="0" w:name="_GoBack"/>
                  <w:bookmarkEnd w:id="0"/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proofErr w:type="spellStart"/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proofErr w:type="spellEnd"/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Die Schülerinnen und Schüler verfügen über die Kompetenz, auftragsbezogen besondere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bauliche Situationen zu erfassen und situationsgerechte Lösungen zu entwickeln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und umzusetzen.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analysieren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nach Auftragserteilung die besondere bauliche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>Situation (</w:t>
            </w:r>
            <w:r w:rsidRPr="00B07F7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Verbände für Pfeiler und Vorlagen, Schornstein aus Formteilen, Öffnungen mit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Fertigteilen überdecken, Abfangungen in zweischaligem Mauerwerk, Mauerwerk- und Stahlbetonfertigteile,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Elementwände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) kommunizieren diese mit den </w:t>
            </w:r>
            <w:proofErr w:type="spellStart"/>
            <w:r w:rsidRPr="00B07F74">
              <w:rPr>
                <w:rFonts w:ascii="Calibri Light" w:hAnsi="Calibri Light" w:cs="Calibri Light"/>
                <w:sz w:val="22"/>
                <w:szCs w:val="22"/>
              </w:rPr>
              <w:t>Auftraggebenden</w:t>
            </w:r>
            <w:proofErr w:type="spellEnd"/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 und dokumentieren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>diese.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informieren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sich auch mit Hilfe digitaler Medien (</w:t>
            </w:r>
            <w:r w:rsidRPr="00B07F7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Herstellerangaben,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Verarbeitungshinweise und Montageanleitung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) über besondere Bauteile und </w:t>
            </w:r>
            <w:proofErr w:type="spellStart"/>
            <w:r w:rsidRPr="00B07F74">
              <w:rPr>
                <w:rFonts w:ascii="Calibri Light" w:hAnsi="Calibri Light" w:cs="Calibri Light"/>
                <w:sz w:val="22"/>
                <w:szCs w:val="22"/>
              </w:rPr>
              <w:t>derenAnforderungen</w:t>
            </w:r>
            <w:proofErr w:type="spellEnd"/>
            <w:r w:rsidRPr="00B07F7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planen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einen Arbeitsablauf und wählen entsprechende Arbeitsverfahren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>für die bauliche Situation sowie Materialien aus. Dabei berücksichtigen siebauphysikalische Wechselwirkungen, Schall- und Brandschutzmaßnahmen und Aspekte der</w:t>
            </w:r>
            <w:r w:rsidR="00B07F74" w:rsidRPr="00B07F7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Energieeffizienz, sowie den Umgang mit Gefahrstoffen. Sie planen den Einsatz von Geräten</w:t>
            </w:r>
            <w:r w:rsidR="00B07F74" w:rsidRPr="00B07F7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und Maschinen unter Berücksichtigung der Arbeitssicherheit zur Erstellung besonderer Bauteile.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stellen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das besondere Bauteil mit Hilfe der ausgewählten Geräte</w:t>
            </w:r>
            <w:r w:rsidR="00B07F74" w:rsidRPr="00B07F7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und Werkzeuge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her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unter Berücksichtigung der Vorschriften zum Arbeits- und Gesundheitsschutz.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beurteilen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die besonderen Bauteile hinsichtlich der Dauerhaftigkeit,</w:t>
            </w:r>
            <w:r w:rsidR="00B07F74" w:rsidRPr="00B07F7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Oberflächenqualität, Gestaltung und Maßhaltigkeit. Sie bearbeiten Reklamationen</w:t>
            </w:r>
            <w:r w:rsidR="00B07F74" w:rsidRPr="00B07F7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und ergreifen Maßnahmen zur kontinuierlichen Qualitätsverbesserung.</w:t>
            </w:r>
          </w:p>
          <w:p w:rsidR="004B3E7E" w:rsidRPr="00B07F74" w:rsidRDefault="004B3E7E" w:rsidP="004B3E7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 xml:space="preserve">Die Schülerinnen und Schüler </w:t>
            </w:r>
            <w:r w:rsidRPr="00B07F7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reflektieren </w:t>
            </w:r>
            <w:r w:rsidRPr="00B07F74">
              <w:rPr>
                <w:rFonts w:ascii="Calibri Light" w:hAnsi="Calibri Light" w:cs="Calibri Light"/>
                <w:sz w:val="22"/>
                <w:szCs w:val="22"/>
              </w:rPr>
              <w:t>gemeinsam den Herstellungsprozess, schlagen</w:t>
            </w:r>
          </w:p>
          <w:p w:rsidR="007520C7" w:rsidRPr="00FE56F6" w:rsidRDefault="004B3E7E" w:rsidP="004B3E7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B07F74">
              <w:rPr>
                <w:rFonts w:ascii="Calibri Light" w:hAnsi="Calibri Light" w:cs="Calibri Light"/>
                <w:sz w:val="22"/>
                <w:szCs w:val="22"/>
              </w:rPr>
              <w:t>mögliche Alternativen in der Ausführung vor und dokumentieren diese.</w:t>
            </w:r>
          </w:p>
        </w:tc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t xml:space="preserve">Titel der Lernsituation:  </w:t>
            </w:r>
            <w:r w:rsidR="00FE56F6">
              <w:rPr>
                <w:b/>
                <w:sz w:val="28"/>
                <w:szCs w:val="28"/>
              </w:rPr>
              <w:t>“</w:t>
            </w:r>
          </w:p>
          <w:p w:rsidR="00076570" w:rsidRPr="00076570" w:rsidRDefault="004B3E7E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„Pfeiler</w:t>
            </w:r>
            <w:r w:rsidR="00FA16D3">
              <w:rPr>
                <w:b/>
                <w:i/>
              </w:rPr>
              <w:t>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1916DD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1</w:t>
                  </w:r>
                  <w:r w:rsidR="00791410">
                    <w:rPr>
                      <w:b/>
                      <w:i/>
                      <w:sz w:val="20"/>
                    </w:rPr>
                    <w:t>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47098E" w:rsidRDefault="002D3979" w:rsidP="0047098E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lastRenderedPageBreak/>
              <w:t>Handlungssituation</w:t>
            </w:r>
            <w:r w:rsidR="001916DD">
              <w:rPr>
                <w:rFonts w:ascii="Calibri" w:hAnsi="Calibri" w:cs="Calibri"/>
              </w:rPr>
              <w:t>: Herr Krebs möchte eine Gartenhütte in seinem Garten</w:t>
            </w:r>
            <w:r w:rsidR="00FE56F6">
              <w:rPr>
                <w:rFonts w:ascii="Calibri" w:hAnsi="Calibri" w:cs="Calibri"/>
              </w:rPr>
              <w:t xml:space="preserve">. </w:t>
            </w:r>
            <w:r w:rsidR="001916DD">
              <w:rPr>
                <w:rFonts w:ascii="Calibri" w:hAnsi="Calibri" w:cs="Calibri"/>
              </w:rPr>
              <w:t xml:space="preserve">Hierbei soll ein Pfeiler, eine schiefwinklige Mauerecke, eine Fachwerkwand, ein Seine </w:t>
            </w:r>
            <w:r w:rsidR="00FE56F6">
              <w:rPr>
                <w:rFonts w:ascii="Calibri" w:hAnsi="Calibri" w:cs="Calibri"/>
              </w:rPr>
              <w:t>Sie sind für die fachgerechte Ausführung verantwortlich.</w:t>
            </w:r>
            <w:r w:rsidR="00791410">
              <w:rPr>
                <w:rFonts w:ascii="Calibri" w:hAnsi="Calibri" w:cs="Calibri"/>
              </w:rPr>
              <w:br/>
            </w:r>
          </w:p>
          <w:p w:rsidR="001E3BAA" w:rsidRDefault="001E3BAA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B46BC7">
              <w:rPr>
                <w:rFonts w:ascii="Calibri" w:hAnsi="Calibri" w:cs="Calibri"/>
                <w:sz w:val="22"/>
                <w:szCs w:val="22"/>
              </w:rPr>
              <w:t xml:space="preserve">Konstruktionszeichnungen, </w:t>
            </w:r>
            <w:proofErr w:type="spellStart"/>
            <w:r w:rsidR="00B46BC7">
              <w:rPr>
                <w:rFonts w:ascii="Calibri" w:hAnsi="Calibri" w:cs="Calibri"/>
                <w:sz w:val="22"/>
                <w:szCs w:val="22"/>
              </w:rPr>
              <w:t>Detailszeichnungen</w:t>
            </w:r>
            <w:proofErr w:type="spellEnd"/>
            <w:r w:rsidR="00B46BC7">
              <w:rPr>
                <w:rFonts w:ascii="Calibri" w:hAnsi="Calibri" w:cs="Calibri"/>
                <w:sz w:val="22"/>
                <w:szCs w:val="22"/>
              </w:rPr>
              <w:t>, Berechnungen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47098E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1B477F" w:rsidRDefault="00344D45" w:rsidP="00572722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572722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572722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lastRenderedPageBreak/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 xml:space="preserve">Informationen zur Erstellung und Hintergrundwissen zum </w:t>
            </w:r>
            <w:proofErr w:type="spellStart"/>
            <w:r w:rsidRPr="00FA5E26">
              <w:rPr>
                <w:rFonts w:asciiTheme="majorHAnsi" w:hAnsiTheme="majorHAnsi" w:cstheme="majorHAnsi"/>
              </w:rPr>
              <w:t>SchuCuBBS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B07F74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7D" w:rsidRDefault="0062427D">
      <w:r>
        <w:separator/>
      </w:r>
    </w:p>
  </w:endnote>
  <w:endnote w:type="continuationSeparator" w:id="0">
    <w:p w:rsidR="0062427D" w:rsidRDefault="006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7D" w:rsidRDefault="0062427D">
      <w:r>
        <w:separator/>
      </w:r>
    </w:p>
  </w:footnote>
  <w:footnote w:type="continuationSeparator" w:id="0">
    <w:p w:rsidR="0062427D" w:rsidRDefault="006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7D" w:rsidRPr="00D00FE0" w:rsidRDefault="0062427D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1A0E"/>
    <w:rsid w:val="00171CC5"/>
    <w:rsid w:val="001756B9"/>
    <w:rsid w:val="00177D56"/>
    <w:rsid w:val="00181378"/>
    <w:rsid w:val="00185E04"/>
    <w:rsid w:val="001916DD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36682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3D5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098E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3E7E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2722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27D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873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71E80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07F74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46BC7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5F0C"/>
    <w:rsid w:val="00D4669C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369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A16D3"/>
    <w:rsid w:val="00FA26F3"/>
    <w:rsid w:val="00FA5E26"/>
    <w:rsid w:val="00FB72D4"/>
    <w:rsid w:val="00FD6B36"/>
    <w:rsid w:val="00FE56F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F255FD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C64A-DCB2-4A9C-A875-7564E411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3</cp:revision>
  <cp:lastPrinted>2022-05-16T11:16:00Z</cp:lastPrinted>
  <dcterms:created xsi:type="dcterms:W3CDTF">2025-05-28T09:50:00Z</dcterms:created>
  <dcterms:modified xsi:type="dcterms:W3CDTF">2025-05-28T10:01:00Z</dcterms:modified>
</cp:coreProperties>
</file>